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0D2AB20" w:rsidR="005232F9" w:rsidRDefault="00B83EA8">
      <w:pPr>
        <w:spacing w:line="240" w:lineRule="auto"/>
        <w:rPr>
          <w:rFonts w:ascii="Open Sans Semibold" w:eastAsia="Open Sans Semibold" w:hAnsi="Open Sans Semibold" w:cs="Open Sans Semibold"/>
          <w:b/>
          <w:sz w:val="28"/>
          <w:szCs w:val="28"/>
        </w:rPr>
      </w:pPr>
      <w:bookmarkStart w:id="0" w:name="_GoBack"/>
      <w:bookmarkEnd w:id="0"/>
      <w:r>
        <w:rPr>
          <w:rFonts w:ascii="Tahoma" w:eastAsia="Tahoma" w:hAnsi="Tahoma" w:cs="Tahoma"/>
          <w:sz w:val="44"/>
          <w:szCs w:val="44"/>
        </w:rPr>
        <w:t>EXCHANGE-TRADED FUNDS</w:t>
      </w:r>
      <w:r>
        <w:rPr>
          <w:rFonts w:ascii="Open Sans Semibold" w:eastAsia="Open Sans Semibold" w:hAnsi="Open Sans Semibold" w:cs="Open Sans Semibold"/>
          <w:b/>
          <w:sz w:val="28"/>
          <w:szCs w:val="28"/>
        </w:rPr>
        <w:t xml:space="preserve">: </w:t>
      </w:r>
      <w:r w:rsidR="00392ED5">
        <w:rPr>
          <w:rFonts w:ascii="Open Sans Semibold" w:eastAsia="Open Sans Semibold" w:hAnsi="Open Sans Semibold" w:cs="Open Sans Semibold"/>
          <w:b/>
          <w:sz w:val="28"/>
          <w:szCs w:val="28"/>
        </w:rPr>
        <w:t>Easy diversification</w:t>
      </w:r>
    </w:p>
    <w:p w14:paraId="00000002" w14:textId="77777777" w:rsidR="005232F9" w:rsidRDefault="005232F9">
      <w:pPr>
        <w:spacing w:line="240" w:lineRule="auto"/>
        <w:rPr>
          <w:rFonts w:ascii="Open Sans Light" w:eastAsia="Open Sans Light" w:hAnsi="Open Sans Light" w:cs="Open Sans Light"/>
          <w:sz w:val="20"/>
          <w:szCs w:val="20"/>
        </w:rPr>
      </w:pPr>
    </w:p>
    <w:p w14:paraId="00000003" w14:textId="77777777" w:rsidR="005232F9" w:rsidRDefault="005232F9">
      <w:pPr>
        <w:spacing w:line="240" w:lineRule="auto"/>
        <w:rPr>
          <w:rFonts w:ascii="Open Sans Light" w:eastAsia="Open Sans Light" w:hAnsi="Open Sans Light" w:cs="Open Sans Light"/>
          <w:sz w:val="20"/>
          <w:szCs w:val="20"/>
        </w:rPr>
      </w:pPr>
    </w:p>
    <w:p w14:paraId="00000004" w14:textId="77777777" w:rsidR="005232F9" w:rsidRDefault="00B83EA8">
      <w:pPr>
        <w:spacing w:line="240" w:lineRule="auto"/>
        <w:rPr>
          <w:rFonts w:ascii="Tahoma" w:eastAsia="Tahoma" w:hAnsi="Tahoma" w:cs="Tahoma"/>
          <w:sz w:val="36"/>
          <w:szCs w:val="36"/>
        </w:rPr>
      </w:pPr>
      <w:r>
        <w:rPr>
          <w:rFonts w:ascii="Tahoma" w:eastAsia="Tahoma" w:hAnsi="Tahoma" w:cs="Tahoma"/>
          <w:sz w:val="36"/>
          <w:szCs w:val="36"/>
        </w:rPr>
        <w:t>IN BRIEF</w:t>
      </w:r>
    </w:p>
    <w:p w14:paraId="00000005" w14:textId="77777777" w:rsidR="005232F9" w:rsidRDefault="005232F9">
      <w:pPr>
        <w:spacing w:line="240" w:lineRule="auto"/>
        <w:rPr>
          <w:rFonts w:ascii="Open Sans Light" w:eastAsia="Open Sans Light" w:hAnsi="Open Sans Light" w:cs="Open Sans Light"/>
          <w:sz w:val="20"/>
          <w:szCs w:val="20"/>
        </w:rPr>
      </w:pPr>
    </w:p>
    <w:p w14:paraId="481AAE25" w14:textId="7986C8AE" w:rsidR="00E92F70" w:rsidRDefault="00B83EA8">
      <w:pPr>
        <w:spacing w:line="240" w:lineRule="auto"/>
        <w:rPr>
          <w:rFonts w:ascii="Open Sans Light" w:eastAsia="Open Sans Light" w:hAnsi="Open Sans Light" w:cs="Open Sans Light"/>
          <w:sz w:val="20"/>
          <w:szCs w:val="20"/>
        </w:rPr>
      </w:pPr>
      <w:r>
        <w:rPr>
          <w:rFonts w:ascii="Open Sans Light" w:eastAsia="Open Sans Light" w:hAnsi="Open Sans Light" w:cs="Open Sans Light"/>
          <w:sz w:val="20"/>
          <w:szCs w:val="20"/>
        </w:rPr>
        <w:t xml:space="preserve">An exchange-traded fund (ETF) </w:t>
      </w:r>
      <w:r w:rsidR="00392ED5">
        <w:rPr>
          <w:rFonts w:ascii="Open Sans Light" w:eastAsia="Open Sans Light" w:hAnsi="Open Sans Light" w:cs="Open Sans Light"/>
          <w:sz w:val="20"/>
          <w:szCs w:val="20"/>
        </w:rPr>
        <w:t xml:space="preserve">can </w:t>
      </w:r>
      <w:r w:rsidR="00E07F8C">
        <w:rPr>
          <w:rFonts w:ascii="Open Sans Light" w:eastAsia="Open Sans Light" w:hAnsi="Open Sans Light" w:cs="Open Sans Light"/>
          <w:sz w:val="20"/>
          <w:szCs w:val="20"/>
        </w:rPr>
        <w:t>offer</w:t>
      </w:r>
      <w:r>
        <w:rPr>
          <w:rFonts w:ascii="Open Sans Light" w:eastAsia="Open Sans Light" w:hAnsi="Open Sans Light" w:cs="Open Sans Light"/>
          <w:sz w:val="20"/>
          <w:szCs w:val="20"/>
        </w:rPr>
        <w:t xml:space="preserve"> </w:t>
      </w:r>
      <w:r w:rsidR="009C0D6E">
        <w:rPr>
          <w:rFonts w:ascii="Open Sans Light" w:eastAsia="Open Sans Light" w:hAnsi="Open Sans Light" w:cs="Open Sans Light"/>
          <w:sz w:val="20"/>
          <w:szCs w:val="20"/>
        </w:rPr>
        <w:t xml:space="preserve">an easy way to add diversification to your portfolio. An ETF is </w:t>
      </w:r>
      <w:r>
        <w:rPr>
          <w:rFonts w:ascii="Open Sans Light" w:eastAsia="Open Sans Light" w:hAnsi="Open Sans Light" w:cs="Open Sans Light"/>
          <w:sz w:val="20"/>
          <w:szCs w:val="20"/>
        </w:rPr>
        <w:t xml:space="preserve">essentially a basket of investments that trades on an exchange (similar to a stock). </w:t>
      </w:r>
      <w:r w:rsidR="009C0D6E">
        <w:rPr>
          <w:rFonts w:ascii="Open Sans Light" w:eastAsia="Open Sans Light" w:hAnsi="Open Sans Light" w:cs="Open Sans Light"/>
          <w:sz w:val="20"/>
          <w:szCs w:val="20"/>
        </w:rPr>
        <w:t>You can buy ETF shares the same</w:t>
      </w:r>
      <w:r w:rsidR="00C63612">
        <w:rPr>
          <w:rFonts w:ascii="Open Sans Light" w:eastAsia="Open Sans Light" w:hAnsi="Open Sans Light" w:cs="Open Sans Light"/>
          <w:sz w:val="20"/>
          <w:szCs w:val="20"/>
        </w:rPr>
        <w:t xml:space="preserve"> way you buy shares of a stock. B</w:t>
      </w:r>
      <w:r w:rsidR="009C0D6E">
        <w:rPr>
          <w:rFonts w:ascii="Open Sans Light" w:eastAsia="Open Sans Light" w:hAnsi="Open Sans Light" w:cs="Open Sans Light"/>
          <w:sz w:val="20"/>
          <w:szCs w:val="20"/>
        </w:rPr>
        <w:t xml:space="preserve">ut instead of </w:t>
      </w:r>
      <w:r w:rsidR="009E4AFC">
        <w:rPr>
          <w:rFonts w:ascii="Open Sans Light" w:eastAsia="Open Sans Light" w:hAnsi="Open Sans Light" w:cs="Open Sans Light"/>
          <w:sz w:val="20"/>
          <w:szCs w:val="20"/>
        </w:rPr>
        <w:t xml:space="preserve">providing </w:t>
      </w:r>
      <w:r w:rsidR="009C0D6E">
        <w:rPr>
          <w:rFonts w:ascii="Open Sans Light" w:eastAsia="Open Sans Light" w:hAnsi="Open Sans Light" w:cs="Open Sans Light"/>
          <w:sz w:val="20"/>
          <w:szCs w:val="20"/>
        </w:rPr>
        <w:t xml:space="preserve">exposure to only one investment, </w:t>
      </w:r>
      <w:r w:rsidR="00957075">
        <w:rPr>
          <w:rFonts w:ascii="Open Sans Light" w:eastAsia="Open Sans Light" w:hAnsi="Open Sans Light" w:cs="Open Sans Light"/>
          <w:sz w:val="20"/>
          <w:szCs w:val="20"/>
        </w:rPr>
        <w:t>many ETFs can provide</w:t>
      </w:r>
      <w:r w:rsidR="009C0D6E">
        <w:rPr>
          <w:rFonts w:ascii="Open Sans Light" w:eastAsia="Open Sans Light" w:hAnsi="Open Sans Light" w:cs="Open Sans Light"/>
          <w:sz w:val="20"/>
          <w:szCs w:val="20"/>
        </w:rPr>
        <w:t xml:space="preserve"> exposure to potentially hundreds or even thousands of investments</w:t>
      </w:r>
      <w:r w:rsidR="00392ED5">
        <w:rPr>
          <w:rFonts w:ascii="Open Sans Light" w:eastAsia="Open Sans Light" w:hAnsi="Open Sans Light" w:cs="Open Sans Light"/>
          <w:sz w:val="20"/>
          <w:szCs w:val="20"/>
        </w:rPr>
        <w:t>—</w:t>
      </w:r>
      <w:r w:rsidR="009C0D6E">
        <w:rPr>
          <w:rFonts w:ascii="Open Sans Light" w:eastAsia="Open Sans Light" w:hAnsi="Open Sans Light" w:cs="Open Sans Light"/>
          <w:sz w:val="20"/>
          <w:szCs w:val="20"/>
        </w:rPr>
        <w:t>helping you diversify your portfolio with just one trade.</w:t>
      </w:r>
      <w:bookmarkStart w:id="1" w:name="_gjdgxs" w:colFirst="0" w:colLast="0"/>
      <w:bookmarkEnd w:id="1"/>
    </w:p>
    <w:p w14:paraId="4C74F31B" w14:textId="77777777" w:rsidR="00E92F70" w:rsidRDefault="00E92F70">
      <w:pPr>
        <w:spacing w:line="240" w:lineRule="auto"/>
        <w:rPr>
          <w:rFonts w:ascii="Open Sans Semibold" w:eastAsia="Open Sans Semibold" w:hAnsi="Open Sans Semibold" w:cs="Open Sans Semibold"/>
          <w:b/>
          <w:color w:val="002D6E"/>
          <w:sz w:val="28"/>
          <w:szCs w:val="28"/>
        </w:rPr>
      </w:pPr>
    </w:p>
    <w:p w14:paraId="0000000A" w14:textId="4297967C" w:rsidR="005232F9" w:rsidRDefault="00B83EA8">
      <w:pPr>
        <w:spacing w:line="240" w:lineRule="auto"/>
        <w:rPr>
          <w:rFonts w:ascii="Open Sans Semibold" w:eastAsia="Open Sans Semibold" w:hAnsi="Open Sans Semibold" w:cs="Open Sans Semibold"/>
          <w:b/>
          <w:color w:val="002D6E"/>
          <w:sz w:val="28"/>
          <w:szCs w:val="28"/>
        </w:rPr>
      </w:pPr>
      <w:r>
        <w:rPr>
          <w:rFonts w:ascii="Open Sans Semibold" w:eastAsia="Open Sans Semibold" w:hAnsi="Open Sans Semibold" w:cs="Open Sans Semibold"/>
          <w:b/>
          <w:color w:val="002D6E"/>
          <w:sz w:val="28"/>
          <w:szCs w:val="28"/>
        </w:rPr>
        <w:t>What is an ETF?</w:t>
      </w:r>
    </w:p>
    <w:p w14:paraId="0000000B" w14:textId="77777777" w:rsidR="005232F9" w:rsidRDefault="005232F9">
      <w:pPr>
        <w:spacing w:line="240" w:lineRule="auto"/>
        <w:rPr>
          <w:rFonts w:ascii="Open Sans Light" w:eastAsia="Open Sans Light" w:hAnsi="Open Sans Light" w:cs="Open Sans Light"/>
          <w:sz w:val="20"/>
          <w:szCs w:val="20"/>
        </w:rPr>
      </w:pPr>
    </w:p>
    <w:p w14:paraId="0000000C" w14:textId="526D2253" w:rsidR="005232F9" w:rsidRDefault="00B83EA8">
      <w:pPr>
        <w:spacing w:line="240" w:lineRule="auto"/>
        <w:rPr>
          <w:rFonts w:ascii="Open Sans Light" w:eastAsia="Open Sans Light" w:hAnsi="Open Sans Light" w:cs="Open Sans Light"/>
          <w:sz w:val="20"/>
          <w:szCs w:val="20"/>
        </w:rPr>
      </w:pPr>
      <w:r>
        <w:rPr>
          <w:rFonts w:ascii="Open Sans Light" w:eastAsia="Open Sans Light" w:hAnsi="Open Sans Light" w:cs="Open Sans Light"/>
          <w:sz w:val="20"/>
          <w:szCs w:val="20"/>
        </w:rPr>
        <w:t>An ETF pools the money of many investors to purchase a portfolio of investments. This</w:t>
      </w:r>
      <w:r w:rsidR="008F0964">
        <w:rPr>
          <w:rFonts w:ascii="Open Sans Light" w:eastAsia="Open Sans Light" w:hAnsi="Open Sans Light" w:cs="Open Sans Light"/>
          <w:sz w:val="20"/>
          <w:szCs w:val="20"/>
        </w:rPr>
        <w:t xml:space="preserve"> can help</w:t>
      </w:r>
      <w:r>
        <w:rPr>
          <w:rFonts w:ascii="Open Sans Light" w:eastAsia="Open Sans Light" w:hAnsi="Open Sans Light" w:cs="Open Sans Light"/>
          <w:sz w:val="20"/>
          <w:szCs w:val="20"/>
        </w:rPr>
        <w:t xml:space="preserve"> individual investors gain exposure to more investments for a smaller dollar commitment than if they were to buy </w:t>
      </w:r>
      <w:r w:rsidR="00672136">
        <w:rPr>
          <w:rFonts w:ascii="Open Sans Light" w:eastAsia="Open Sans Light" w:hAnsi="Open Sans Light" w:cs="Open Sans Light"/>
          <w:sz w:val="20"/>
          <w:szCs w:val="20"/>
        </w:rPr>
        <w:t xml:space="preserve">each </w:t>
      </w:r>
      <w:r>
        <w:rPr>
          <w:rFonts w:ascii="Open Sans Light" w:eastAsia="Open Sans Light" w:hAnsi="Open Sans Light" w:cs="Open Sans Light"/>
          <w:sz w:val="20"/>
          <w:szCs w:val="20"/>
        </w:rPr>
        <w:t xml:space="preserve">investment on </w:t>
      </w:r>
      <w:r w:rsidR="00672136">
        <w:rPr>
          <w:rFonts w:ascii="Open Sans Light" w:eastAsia="Open Sans Light" w:hAnsi="Open Sans Light" w:cs="Open Sans Light"/>
          <w:sz w:val="20"/>
          <w:szCs w:val="20"/>
        </w:rPr>
        <w:t xml:space="preserve">its </w:t>
      </w:r>
      <w:r>
        <w:rPr>
          <w:rFonts w:ascii="Open Sans Light" w:eastAsia="Open Sans Light" w:hAnsi="Open Sans Light" w:cs="Open Sans Light"/>
          <w:sz w:val="20"/>
          <w:szCs w:val="20"/>
        </w:rPr>
        <w:t>own.</w:t>
      </w:r>
    </w:p>
    <w:p w14:paraId="0000000D" w14:textId="77777777" w:rsidR="005232F9" w:rsidRDefault="005232F9">
      <w:pPr>
        <w:spacing w:line="240" w:lineRule="auto"/>
        <w:rPr>
          <w:rFonts w:ascii="Open Sans Light" w:eastAsia="Open Sans Light" w:hAnsi="Open Sans Light" w:cs="Open Sans Light"/>
          <w:sz w:val="20"/>
          <w:szCs w:val="20"/>
        </w:rPr>
      </w:pPr>
    </w:p>
    <w:p w14:paraId="0000000E" w14:textId="3D9F2767" w:rsidR="005232F9" w:rsidRDefault="00B83EA8">
      <w:pPr>
        <w:spacing w:line="240" w:lineRule="auto"/>
        <w:rPr>
          <w:rFonts w:ascii="Open Sans Light" w:eastAsia="Open Sans Light" w:hAnsi="Open Sans Light" w:cs="Open Sans Light"/>
          <w:sz w:val="20"/>
          <w:szCs w:val="20"/>
        </w:rPr>
      </w:pPr>
      <w:r>
        <w:rPr>
          <w:rFonts w:ascii="Open Sans Light" w:eastAsia="Open Sans Light" w:hAnsi="Open Sans Light" w:cs="Open Sans Light"/>
          <w:sz w:val="20"/>
          <w:szCs w:val="20"/>
        </w:rPr>
        <w:t xml:space="preserve">When you buy an ETF share, you purchase an ownership stake in the fund’s portfolio. You can’t buy or sell the individual securities held by the ETF, but the value of your shares </w:t>
      </w:r>
      <w:r w:rsidR="00C63612">
        <w:rPr>
          <w:rFonts w:ascii="Open Sans Light" w:eastAsia="Open Sans Light" w:hAnsi="Open Sans Light" w:cs="Open Sans Light"/>
          <w:sz w:val="20"/>
          <w:szCs w:val="20"/>
        </w:rPr>
        <w:t xml:space="preserve">should </w:t>
      </w:r>
      <w:r>
        <w:rPr>
          <w:rFonts w:ascii="Open Sans Light" w:eastAsia="Open Sans Light" w:hAnsi="Open Sans Light" w:cs="Open Sans Light"/>
          <w:sz w:val="20"/>
          <w:szCs w:val="20"/>
        </w:rPr>
        <w:t>increase or decrease with the underlying portfolio’s performance. ETFs can invest in stocks, bonds, commodities, and other investments.</w:t>
      </w:r>
    </w:p>
    <w:p w14:paraId="0000000F" w14:textId="77777777" w:rsidR="005232F9" w:rsidRDefault="005232F9">
      <w:pPr>
        <w:spacing w:line="240" w:lineRule="auto"/>
        <w:rPr>
          <w:rFonts w:ascii="Open Sans Light" w:eastAsia="Open Sans Light" w:hAnsi="Open Sans Light" w:cs="Open Sans Light"/>
          <w:sz w:val="20"/>
          <w:szCs w:val="20"/>
        </w:rPr>
      </w:pPr>
    </w:p>
    <w:p w14:paraId="00000010" w14:textId="77777777" w:rsidR="005232F9" w:rsidRDefault="00B83EA8">
      <w:pPr>
        <w:spacing w:line="240" w:lineRule="auto"/>
        <w:rPr>
          <w:rFonts w:ascii="Open Sans Semibold" w:eastAsia="Open Sans Semibold" w:hAnsi="Open Sans Semibold" w:cs="Open Sans Semibold"/>
          <w:b/>
          <w:color w:val="002D6E"/>
          <w:sz w:val="28"/>
          <w:szCs w:val="28"/>
        </w:rPr>
      </w:pPr>
      <w:r>
        <w:rPr>
          <w:rFonts w:ascii="Open Sans Semibold" w:eastAsia="Open Sans Semibold" w:hAnsi="Open Sans Semibold" w:cs="Open Sans Semibold"/>
          <w:b/>
          <w:color w:val="002D6E"/>
          <w:sz w:val="28"/>
          <w:szCs w:val="28"/>
        </w:rPr>
        <w:t>Key features</w:t>
      </w:r>
    </w:p>
    <w:p w14:paraId="00000011" w14:textId="77777777" w:rsidR="005232F9" w:rsidRDefault="005232F9">
      <w:pPr>
        <w:spacing w:line="240" w:lineRule="auto"/>
        <w:rPr>
          <w:rFonts w:ascii="Open Sans Semibold" w:eastAsia="Open Sans Semibold" w:hAnsi="Open Sans Semibold" w:cs="Open Sans Semibold"/>
          <w:b/>
          <w:color w:val="002D6E"/>
          <w:sz w:val="28"/>
          <w:szCs w:val="28"/>
        </w:rPr>
      </w:pPr>
    </w:p>
    <w:p w14:paraId="00000012" w14:textId="77777777" w:rsidR="005232F9" w:rsidRDefault="00B83EA8">
      <w:pPr>
        <w:spacing w:line="240" w:lineRule="auto"/>
        <w:rPr>
          <w:rFonts w:ascii="Open Sans Light" w:eastAsia="Open Sans Light" w:hAnsi="Open Sans Light" w:cs="Open Sans Light"/>
          <w:sz w:val="20"/>
          <w:szCs w:val="20"/>
        </w:rPr>
      </w:pPr>
      <w:r>
        <w:rPr>
          <w:rFonts w:ascii="Open Sans Light" w:eastAsia="Open Sans Light" w:hAnsi="Open Sans Light" w:cs="Open Sans Light"/>
          <w:sz w:val="20"/>
          <w:szCs w:val="20"/>
        </w:rPr>
        <w:t xml:space="preserve">Here are some important features of ETFs: </w:t>
      </w:r>
    </w:p>
    <w:p w14:paraId="00000013" w14:textId="77777777" w:rsidR="005232F9" w:rsidRDefault="005232F9">
      <w:pPr>
        <w:spacing w:line="240" w:lineRule="auto"/>
        <w:rPr>
          <w:rFonts w:ascii="Open Sans Light" w:eastAsia="Open Sans Light" w:hAnsi="Open Sans Light" w:cs="Open Sans Light"/>
          <w:sz w:val="20"/>
          <w:szCs w:val="20"/>
        </w:rPr>
      </w:pPr>
    </w:p>
    <w:p w14:paraId="00000014" w14:textId="77777777" w:rsidR="005232F9" w:rsidRDefault="00B83EA8">
      <w:pPr>
        <w:numPr>
          <w:ilvl w:val="0"/>
          <w:numId w:val="5"/>
        </w:numPr>
        <w:spacing w:line="240" w:lineRule="auto"/>
        <w:rPr>
          <w:rFonts w:ascii="Open Sans Light" w:eastAsia="Open Sans Light" w:hAnsi="Open Sans Light" w:cs="Open Sans Light"/>
          <w:sz w:val="20"/>
          <w:szCs w:val="20"/>
        </w:rPr>
      </w:pPr>
      <w:r>
        <w:rPr>
          <w:rFonts w:ascii="Open Sans Light" w:eastAsia="Open Sans Light" w:hAnsi="Open Sans Light" w:cs="Open Sans Light"/>
          <w:sz w:val="20"/>
          <w:szCs w:val="20"/>
        </w:rPr>
        <w:t>Exchange traded</w:t>
      </w:r>
    </w:p>
    <w:p w14:paraId="00000015" w14:textId="6A4DDB3C" w:rsidR="005232F9" w:rsidRDefault="00B83EA8">
      <w:pPr>
        <w:spacing w:line="240" w:lineRule="auto"/>
        <w:ind w:left="720"/>
        <w:rPr>
          <w:rFonts w:ascii="Open Sans Light" w:eastAsia="Open Sans Light" w:hAnsi="Open Sans Light" w:cs="Open Sans Light"/>
          <w:sz w:val="20"/>
          <w:szCs w:val="20"/>
        </w:rPr>
      </w:pPr>
      <w:r>
        <w:rPr>
          <w:rFonts w:ascii="Open Sans Light" w:eastAsia="Open Sans Light" w:hAnsi="Open Sans Light" w:cs="Open Sans Light"/>
          <w:sz w:val="20"/>
          <w:szCs w:val="20"/>
        </w:rPr>
        <w:t>As the name implies, ETFs trade on stock exchanges, which means you can buy and sell them during trading hours. It also means that prices of ETF shares shift throughout the day.</w:t>
      </w:r>
      <w:r w:rsidR="00653035">
        <w:rPr>
          <w:rFonts w:ascii="Open Sans Light" w:eastAsia="Open Sans Light" w:hAnsi="Open Sans Light" w:cs="Open Sans Light"/>
          <w:sz w:val="20"/>
          <w:szCs w:val="20"/>
        </w:rPr>
        <w:t xml:space="preserve"> </w:t>
      </w:r>
      <w:r w:rsidR="00653035" w:rsidRPr="009333AA">
        <w:t xml:space="preserve">Price fluctuations can </w:t>
      </w:r>
      <w:r w:rsidR="009E4AFC">
        <w:t>occur</w:t>
      </w:r>
      <w:r w:rsidR="009E4AFC" w:rsidRPr="009333AA">
        <w:t xml:space="preserve"> </w:t>
      </w:r>
      <w:r w:rsidR="00653035" w:rsidRPr="009333AA">
        <w:t>due to general market sentiment or because the investments within the ETF change in value.</w:t>
      </w:r>
      <w:r w:rsidR="00653035">
        <w:t xml:space="preserve"> </w:t>
      </w:r>
    </w:p>
    <w:p w14:paraId="00000016" w14:textId="77777777" w:rsidR="005232F9" w:rsidRDefault="005232F9">
      <w:pPr>
        <w:spacing w:line="240" w:lineRule="auto"/>
        <w:ind w:left="720"/>
        <w:rPr>
          <w:rFonts w:ascii="Open Sans Light" w:eastAsia="Open Sans Light" w:hAnsi="Open Sans Light" w:cs="Open Sans Light"/>
          <w:sz w:val="20"/>
          <w:szCs w:val="20"/>
        </w:rPr>
      </w:pPr>
    </w:p>
    <w:p w14:paraId="00000017" w14:textId="77777777" w:rsidR="005232F9" w:rsidRDefault="00B83EA8">
      <w:pPr>
        <w:numPr>
          <w:ilvl w:val="0"/>
          <w:numId w:val="5"/>
        </w:numPr>
        <w:spacing w:line="240" w:lineRule="auto"/>
        <w:rPr>
          <w:rFonts w:ascii="Open Sans Light" w:eastAsia="Open Sans Light" w:hAnsi="Open Sans Light" w:cs="Open Sans Light"/>
          <w:sz w:val="20"/>
          <w:szCs w:val="20"/>
        </w:rPr>
      </w:pPr>
      <w:r>
        <w:rPr>
          <w:rFonts w:ascii="Open Sans Light" w:eastAsia="Open Sans Light" w:hAnsi="Open Sans Light" w:cs="Open Sans Light"/>
          <w:sz w:val="20"/>
          <w:szCs w:val="20"/>
        </w:rPr>
        <w:t>Tax efficient</w:t>
      </w:r>
    </w:p>
    <w:p w14:paraId="32881E2A" w14:textId="3CD6E171" w:rsidR="00B75C85" w:rsidRPr="00B75C85" w:rsidRDefault="00B75C85" w:rsidP="00B75C85">
      <w:pPr>
        <w:ind w:left="720"/>
      </w:pPr>
      <w:r w:rsidRPr="00B75C85">
        <w:t>Most ETFs “buy” and “sell” their underlying investments through an in-kind redemption process, which essentially exchanges one basket of investments for another (similar to bartering or trading baseball cards). Transacting through this process avoids the tax</w:t>
      </w:r>
      <w:r>
        <w:t>able event that may arise when buying</w:t>
      </w:r>
      <w:r w:rsidRPr="00B75C85">
        <w:t xml:space="preserve"> or selling </w:t>
      </w:r>
      <w:r w:rsidRPr="009E4AFC">
        <w:t>an</w:t>
      </w:r>
      <w:r w:rsidRPr="00B75C85">
        <w:t xml:space="preserve"> investment with cash. As a result, ETFs may have a smaller impact on your tax bill than other types of investments</w:t>
      </w:r>
      <w:r w:rsidR="00D209A8">
        <w:t>.</w:t>
      </w:r>
    </w:p>
    <w:p w14:paraId="00000019" w14:textId="77777777" w:rsidR="005232F9" w:rsidRDefault="005232F9">
      <w:pPr>
        <w:spacing w:line="240" w:lineRule="auto"/>
        <w:ind w:left="720"/>
        <w:rPr>
          <w:rFonts w:ascii="Open Sans Light" w:eastAsia="Open Sans Light" w:hAnsi="Open Sans Light" w:cs="Open Sans Light"/>
          <w:sz w:val="20"/>
          <w:szCs w:val="20"/>
        </w:rPr>
      </w:pPr>
    </w:p>
    <w:p w14:paraId="0000001A" w14:textId="77777777" w:rsidR="005232F9" w:rsidRDefault="00B83EA8">
      <w:pPr>
        <w:numPr>
          <w:ilvl w:val="0"/>
          <w:numId w:val="3"/>
        </w:numPr>
        <w:spacing w:line="240" w:lineRule="auto"/>
        <w:rPr>
          <w:rFonts w:ascii="Open Sans Light" w:eastAsia="Open Sans Light" w:hAnsi="Open Sans Light" w:cs="Open Sans Light"/>
          <w:sz w:val="20"/>
          <w:szCs w:val="20"/>
        </w:rPr>
      </w:pPr>
      <w:r>
        <w:rPr>
          <w:rFonts w:ascii="Open Sans Light" w:eastAsia="Open Sans Light" w:hAnsi="Open Sans Light" w:cs="Open Sans Light"/>
          <w:sz w:val="20"/>
          <w:szCs w:val="20"/>
        </w:rPr>
        <w:t>Lower fees</w:t>
      </w:r>
    </w:p>
    <w:p w14:paraId="0000001B" w14:textId="443E02B6" w:rsidR="005232F9" w:rsidRDefault="00B83EA8">
      <w:pPr>
        <w:spacing w:line="240" w:lineRule="auto"/>
        <w:ind w:left="720"/>
        <w:rPr>
          <w:rFonts w:ascii="Open Sans Light" w:eastAsia="Open Sans Light" w:hAnsi="Open Sans Light" w:cs="Open Sans Light"/>
          <w:sz w:val="20"/>
          <w:szCs w:val="20"/>
        </w:rPr>
      </w:pPr>
      <w:r>
        <w:rPr>
          <w:rFonts w:ascii="Open Sans Light" w:eastAsia="Open Sans Light" w:hAnsi="Open Sans Light" w:cs="Open Sans Light"/>
          <w:sz w:val="20"/>
          <w:szCs w:val="20"/>
        </w:rPr>
        <w:t xml:space="preserve">Many ETFs track indexes. These “passive ETFs” often charge lower fees than investment </w:t>
      </w:r>
      <w:r w:rsidR="00BC6654">
        <w:rPr>
          <w:rFonts w:ascii="Open Sans Light" w:eastAsia="Open Sans Light" w:hAnsi="Open Sans Light" w:cs="Open Sans Light"/>
          <w:sz w:val="20"/>
          <w:szCs w:val="20"/>
        </w:rPr>
        <w:t xml:space="preserve">products </w:t>
      </w:r>
      <w:r>
        <w:rPr>
          <w:rFonts w:ascii="Open Sans Light" w:eastAsia="Open Sans Light" w:hAnsi="Open Sans Light" w:cs="Open Sans Light"/>
          <w:sz w:val="20"/>
          <w:szCs w:val="20"/>
        </w:rPr>
        <w:t>that employ an active manager.</w:t>
      </w:r>
    </w:p>
    <w:p w14:paraId="0000001C" w14:textId="77777777" w:rsidR="005232F9" w:rsidRDefault="005232F9">
      <w:pPr>
        <w:spacing w:line="240" w:lineRule="auto"/>
        <w:ind w:left="720"/>
        <w:rPr>
          <w:rFonts w:ascii="Open Sans Light" w:eastAsia="Open Sans Light" w:hAnsi="Open Sans Light" w:cs="Open Sans Light"/>
          <w:sz w:val="20"/>
          <w:szCs w:val="20"/>
        </w:rPr>
      </w:pPr>
    </w:p>
    <w:p w14:paraId="0000001D" w14:textId="77777777" w:rsidR="005232F9" w:rsidRDefault="00B83EA8">
      <w:pPr>
        <w:numPr>
          <w:ilvl w:val="0"/>
          <w:numId w:val="5"/>
        </w:numPr>
        <w:spacing w:line="240" w:lineRule="auto"/>
        <w:rPr>
          <w:rFonts w:ascii="Open Sans Light" w:eastAsia="Open Sans Light" w:hAnsi="Open Sans Light" w:cs="Open Sans Light"/>
          <w:sz w:val="20"/>
          <w:szCs w:val="20"/>
        </w:rPr>
      </w:pPr>
      <w:r>
        <w:rPr>
          <w:rFonts w:ascii="Open Sans Light" w:eastAsia="Open Sans Light" w:hAnsi="Open Sans Light" w:cs="Open Sans Light"/>
          <w:sz w:val="20"/>
          <w:szCs w:val="20"/>
        </w:rPr>
        <w:t>Low minimums</w:t>
      </w:r>
    </w:p>
    <w:p w14:paraId="0000001E" w14:textId="5D2D0B7E" w:rsidR="005232F9" w:rsidRDefault="00B83EA8">
      <w:pPr>
        <w:spacing w:line="240" w:lineRule="auto"/>
        <w:ind w:left="720"/>
        <w:rPr>
          <w:rFonts w:ascii="Open Sans Semibold" w:eastAsia="Open Sans Semibold" w:hAnsi="Open Sans Semibold" w:cs="Open Sans Semibold"/>
          <w:b/>
          <w:color w:val="002D6E"/>
          <w:sz w:val="28"/>
          <w:szCs w:val="28"/>
        </w:rPr>
      </w:pPr>
      <w:r>
        <w:rPr>
          <w:rFonts w:ascii="Open Sans Light" w:eastAsia="Open Sans Light" w:hAnsi="Open Sans Light" w:cs="Open Sans Light"/>
          <w:sz w:val="20"/>
          <w:szCs w:val="20"/>
        </w:rPr>
        <w:t>With ETFs</w:t>
      </w:r>
      <w:r w:rsidR="00D209A8">
        <w:rPr>
          <w:rFonts w:ascii="Open Sans Light" w:eastAsia="Open Sans Light" w:hAnsi="Open Sans Light" w:cs="Open Sans Light"/>
          <w:sz w:val="20"/>
          <w:szCs w:val="20"/>
        </w:rPr>
        <w:t>,</w:t>
      </w:r>
      <w:r>
        <w:rPr>
          <w:rFonts w:ascii="Open Sans Light" w:eastAsia="Open Sans Light" w:hAnsi="Open Sans Light" w:cs="Open Sans Light"/>
          <w:sz w:val="20"/>
          <w:szCs w:val="20"/>
        </w:rPr>
        <w:t xml:space="preserve"> you can purchase as little as one share—often for $50 or less.</w:t>
      </w:r>
    </w:p>
    <w:p w14:paraId="0000001F" w14:textId="77777777" w:rsidR="005232F9" w:rsidRDefault="005232F9">
      <w:pPr>
        <w:ind w:firstLine="720"/>
        <w:rPr>
          <w:rFonts w:ascii="Open Sans Light" w:eastAsia="Open Sans Light" w:hAnsi="Open Sans Light" w:cs="Open Sans Light"/>
          <w:sz w:val="20"/>
          <w:szCs w:val="20"/>
        </w:rPr>
      </w:pPr>
    </w:p>
    <w:p w14:paraId="00000020" w14:textId="77777777" w:rsidR="005232F9" w:rsidRDefault="00B83EA8">
      <w:pPr>
        <w:spacing w:line="240" w:lineRule="auto"/>
        <w:rPr>
          <w:rFonts w:ascii="Open Sans Semibold" w:eastAsia="Open Sans Semibold" w:hAnsi="Open Sans Semibold" w:cs="Open Sans Semibold"/>
          <w:b/>
          <w:color w:val="002D6E"/>
          <w:sz w:val="28"/>
          <w:szCs w:val="28"/>
        </w:rPr>
      </w:pPr>
      <w:r>
        <w:rPr>
          <w:rFonts w:ascii="Open Sans Semibold" w:eastAsia="Open Sans Semibold" w:hAnsi="Open Sans Semibold" w:cs="Open Sans Semibold"/>
          <w:b/>
          <w:color w:val="002D6E"/>
          <w:sz w:val="28"/>
          <w:szCs w:val="28"/>
        </w:rPr>
        <w:t>Passive vs. active</w:t>
      </w:r>
    </w:p>
    <w:p w14:paraId="00000021" w14:textId="77777777" w:rsidR="005232F9" w:rsidRDefault="005232F9">
      <w:pPr>
        <w:spacing w:line="240" w:lineRule="auto"/>
        <w:rPr>
          <w:rFonts w:ascii="Open Sans Light" w:eastAsia="Open Sans Light" w:hAnsi="Open Sans Light" w:cs="Open Sans Light"/>
          <w:sz w:val="20"/>
          <w:szCs w:val="20"/>
        </w:rPr>
      </w:pPr>
    </w:p>
    <w:p w14:paraId="00000022" w14:textId="77777777" w:rsidR="005232F9" w:rsidRDefault="00B83EA8">
      <w:pPr>
        <w:spacing w:line="240" w:lineRule="auto"/>
        <w:rPr>
          <w:rFonts w:ascii="Open Sans Light" w:eastAsia="Open Sans Light" w:hAnsi="Open Sans Light" w:cs="Open Sans Light"/>
          <w:sz w:val="20"/>
          <w:szCs w:val="20"/>
        </w:rPr>
      </w:pPr>
      <w:r>
        <w:rPr>
          <w:rFonts w:ascii="Open Sans Light" w:eastAsia="Open Sans Light" w:hAnsi="Open Sans Light" w:cs="Open Sans Light"/>
          <w:sz w:val="20"/>
          <w:szCs w:val="20"/>
        </w:rPr>
        <w:t>There are two types of ETFs—passive and active—which have different goals and management strategies:</w:t>
      </w:r>
    </w:p>
    <w:p w14:paraId="00000023" w14:textId="77777777" w:rsidR="005232F9" w:rsidRDefault="005232F9">
      <w:pPr>
        <w:spacing w:line="240" w:lineRule="auto"/>
        <w:rPr>
          <w:rFonts w:ascii="Open Sans Light" w:eastAsia="Open Sans Light" w:hAnsi="Open Sans Light" w:cs="Open Sans Light"/>
          <w:sz w:val="20"/>
          <w:szCs w:val="20"/>
        </w:rPr>
      </w:pPr>
    </w:p>
    <w:p w14:paraId="00000024" w14:textId="77777777" w:rsidR="005232F9" w:rsidRDefault="00B83EA8">
      <w:pPr>
        <w:numPr>
          <w:ilvl w:val="0"/>
          <w:numId w:val="1"/>
        </w:numPr>
        <w:spacing w:line="240" w:lineRule="auto"/>
        <w:rPr>
          <w:rFonts w:ascii="Open Sans Light" w:eastAsia="Open Sans Light" w:hAnsi="Open Sans Light" w:cs="Open Sans Light"/>
          <w:sz w:val="20"/>
          <w:szCs w:val="20"/>
        </w:rPr>
      </w:pPr>
      <w:r>
        <w:rPr>
          <w:rFonts w:ascii="Open Sans Light" w:eastAsia="Open Sans Light" w:hAnsi="Open Sans Light" w:cs="Open Sans Light"/>
          <w:sz w:val="20"/>
          <w:szCs w:val="20"/>
        </w:rPr>
        <w:t>Passive</w:t>
      </w:r>
    </w:p>
    <w:p w14:paraId="00000025" w14:textId="441B7353" w:rsidR="005232F9" w:rsidRDefault="00B83EA8">
      <w:pPr>
        <w:spacing w:line="240" w:lineRule="auto"/>
        <w:ind w:left="720"/>
        <w:rPr>
          <w:rFonts w:ascii="Open Sans Light" w:eastAsia="Open Sans Light" w:hAnsi="Open Sans Light" w:cs="Open Sans Light"/>
          <w:sz w:val="20"/>
          <w:szCs w:val="20"/>
        </w:rPr>
      </w:pPr>
      <w:r>
        <w:rPr>
          <w:rFonts w:ascii="Open Sans Light" w:eastAsia="Open Sans Light" w:hAnsi="Open Sans Light" w:cs="Open Sans Light"/>
          <w:sz w:val="20"/>
          <w:szCs w:val="20"/>
        </w:rPr>
        <w:t xml:space="preserve">Passive ETFs aim to match, not beat, the returns of </w:t>
      </w:r>
      <w:r w:rsidR="00E110A4">
        <w:rPr>
          <w:rFonts w:ascii="Open Sans Light" w:eastAsia="Open Sans Light" w:hAnsi="Open Sans Light" w:cs="Open Sans Light"/>
          <w:sz w:val="20"/>
          <w:szCs w:val="20"/>
        </w:rPr>
        <w:t xml:space="preserve">an </w:t>
      </w:r>
      <w:r>
        <w:rPr>
          <w:rFonts w:ascii="Open Sans Light" w:eastAsia="Open Sans Light" w:hAnsi="Open Sans Light" w:cs="Open Sans Light"/>
          <w:sz w:val="20"/>
          <w:szCs w:val="20"/>
        </w:rPr>
        <w:t>index</w:t>
      </w:r>
      <w:r w:rsidR="00E110A4">
        <w:rPr>
          <w:rFonts w:ascii="Open Sans Light" w:eastAsia="Open Sans Light" w:hAnsi="Open Sans Light" w:cs="Open Sans Light"/>
          <w:sz w:val="20"/>
          <w:szCs w:val="20"/>
        </w:rPr>
        <w:t>,</w:t>
      </w:r>
      <w:r>
        <w:rPr>
          <w:rFonts w:ascii="Open Sans Light" w:eastAsia="Open Sans Light" w:hAnsi="Open Sans Light" w:cs="Open Sans Light"/>
          <w:sz w:val="20"/>
          <w:szCs w:val="20"/>
        </w:rPr>
        <w:t xml:space="preserve"> </w:t>
      </w:r>
      <w:r w:rsidR="00E110A4">
        <w:rPr>
          <w:rFonts w:ascii="Open Sans Light" w:eastAsia="Open Sans Light" w:hAnsi="Open Sans Light" w:cs="Open Sans Light"/>
          <w:sz w:val="20"/>
          <w:szCs w:val="20"/>
        </w:rPr>
        <w:t>such as the S&amp;P 500.</w:t>
      </w:r>
    </w:p>
    <w:p w14:paraId="00000026" w14:textId="77777777" w:rsidR="005232F9" w:rsidRDefault="005232F9">
      <w:pPr>
        <w:spacing w:line="240" w:lineRule="auto"/>
        <w:rPr>
          <w:rFonts w:ascii="Open Sans Light" w:eastAsia="Open Sans Light" w:hAnsi="Open Sans Light" w:cs="Open Sans Light"/>
          <w:sz w:val="20"/>
          <w:szCs w:val="20"/>
        </w:rPr>
      </w:pPr>
    </w:p>
    <w:p w14:paraId="00000027" w14:textId="77777777" w:rsidR="005232F9" w:rsidRDefault="00B83EA8">
      <w:pPr>
        <w:numPr>
          <w:ilvl w:val="0"/>
          <w:numId w:val="2"/>
        </w:numPr>
        <w:spacing w:line="240" w:lineRule="auto"/>
        <w:rPr>
          <w:rFonts w:ascii="Open Sans Light" w:eastAsia="Open Sans Light" w:hAnsi="Open Sans Light" w:cs="Open Sans Light"/>
          <w:sz w:val="20"/>
          <w:szCs w:val="20"/>
        </w:rPr>
      </w:pPr>
      <w:r>
        <w:rPr>
          <w:rFonts w:ascii="Open Sans Light" w:eastAsia="Open Sans Light" w:hAnsi="Open Sans Light" w:cs="Open Sans Light"/>
          <w:sz w:val="20"/>
          <w:szCs w:val="20"/>
        </w:rPr>
        <w:t>Active</w:t>
      </w:r>
    </w:p>
    <w:p w14:paraId="00000028" w14:textId="241ED9EF" w:rsidR="005232F9" w:rsidRDefault="00B83EA8">
      <w:pPr>
        <w:spacing w:line="240" w:lineRule="auto"/>
        <w:ind w:left="720"/>
        <w:rPr>
          <w:rFonts w:ascii="Open Sans Semibold" w:eastAsia="Open Sans Semibold" w:hAnsi="Open Sans Semibold" w:cs="Open Sans Semibold"/>
          <w:b/>
          <w:color w:val="002D6E"/>
          <w:sz w:val="28"/>
          <w:szCs w:val="28"/>
        </w:rPr>
      </w:pPr>
      <w:r>
        <w:rPr>
          <w:rFonts w:ascii="Open Sans Light" w:eastAsia="Open Sans Light" w:hAnsi="Open Sans Light" w:cs="Open Sans Light"/>
          <w:sz w:val="20"/>
          <w:szCs w:val="20"/>
        </w:rPr>
        <w:t>Actively managed ETFs aim to beat the performance of a given index (or other benchmark) and generally charge higher fees than passive ETFs.</w:t>
      </w:r>
    </w:p>
    <w:p w14:paraId="00000029" w14:textId="77777777" w:rsidR="005232F9" w:rsidRDefault="005232F9">
      <w:pPr>
        <w:spacing w:line="240" w:lineRule="auto"/>
        <w:ind w:firstLine="720"/>
        <w:rPr>
          <w:rFonts w:ascii="Open Sans Semibold" w:eastAsia="Open Sans Semibold" w:hAnsi="Open Sans Semibold" w:cs="Open Sans Semibold"/>
          <w:b/>
          <w:color w:val="002D6E"/>
          <w:sz w:val="28"/>
          <w:szCs w:val="28"/>
        </w:rPr>
      </w:pPr>
    </w:p>
    <w:p w14:paraId="0000002A" w14:textId="77777777" w:rsidR="005232F9" w:rsidRDefault="00B83EA8">
      <w:pPr>
        <w:spacing w:line="240" w:lineRule="auto"/>
        <w:rPr>
          <w:rFonts w:ascii="Open Sans Semibold" w:eastAsia="Open Sans Semibold" w:hAnsi="Open Sans Semibold" w:cs="Open Sans Semibold"/>
          <w:b/>
          <w:color w:val="002D6E"/>
          <w:sz w:val="28"/>
          <w:szCs w:val="28"/>
        </w:rPr>
      </w:pPr>
      <w:r>
        <w:rPr>
          <w:rFonts w:ascii="Open Sans Semibold" w:eastAsia="Open Sans Semibold" w:hAnsi="Open Sans Semibold" w:cs="Open Sans Semibold"/>
          <w:b/>
          <w:color w:val="002D6E"/>
          <w:sz w:val="28"/>
          <w:szCs w:val="28"/>
        </w:rPr>
        <w:t>The benefit of diversification</w:t>
      </w:r>
    </w:p>
    <w:p w14:paraId="0000002B" w14:textId="77777777" w:rsidR="005232F9" w:rsidRDefault="005232F9">
      <w:pPr>
        <w:spacing w:line="240" w:lineRule="auto"/>
        <w:rPr>
          <w:rFonts w:ascii="Open Sans Semibold" w:eastAsia="Open Sans Semibold" w:hAnsi="Open Sans Semibold" w:cs="Open Sans Semibold"/>
          <w:b/>
          <w:color w:val="002D6E"/>
          <w:sz w:val="28"/>
          <w:szCs w:val="28"/>
        </w:rPr>
      </w:pPr>
    </w:p>
    <w:p w14:paraId="0000002C" w14:textId="77777777" w:rsidR="005232F9" w:rsidRDefault="00B83EA8">
      <w:pPr>
        <w:rPr>
          <w:rFonts w:ascii="Open Sans Light" w:eastAsia="Open Sans Light" w:hAnsi="Open Sans Light" w:cs="Open Sans Light"/>
          <w:sz w:val="20"/>
          <w:szCs w:val="20"/>
        </w:rPr>
      </w:pPr>
      <w:r>
        <w:rPr>
          <w:rFonts w:ascii="Open Sans Light" w:eastAsia="Open Sans Light" w:hAnsi="Open Sans Light" w:cs="Open Sans Light"/>
          <w:sz w:val="20"/>
          <w:szCs w:val="20"/>
        </w:rPr>
        <w:t>One of the most significant benefits of investing in ETFs may be the power of diversification.</w:t>
      </w:r>
    </w:p>
    <w:p w14:paraId="0000002D" w14:textId="77777777" w:rsidR="005232F9" w:rsidRDefault="005232F9">
      <w:pPr>
        <w:spacing w:line="240" w:lineRule="auto"/>
        <w:rPr>
          <w:rFonts w:ascii="Open Sans Light" w:eastAsia="Open Sans Light" w:hAnsi="Open Sans Light" w:cs="Open Sans Light"/>
          <w:sz w:val="20"/>
          <w:szCs w:val="20"/>
        </w:rPr>
      </w:pPr>
    </w:p>
    <w:p w14:paraId="0000002E" w14:textId="4E9B74A6" w:rsidR="005232F9" w:rsidRDefault="00B83EA8">
      <w:pPr>
        <w:spacing w:line="240" w:lineRule="auto"/>
        <w:rPr>
          <w:rFonts w:ascii="Open Sans Light" w:eastAsia="Open Sans Light" w:hAnsi="Open Sans Light" w:cs="Open Sans Light"/>
          <w:sz w:val="20"/>
          <w:szCs w:val="20"/>
        </w:rPr>
      </w:pPr>
      <w:r>
        <w:rPr>
          <w:rFonts w:ascii="Open Sans Light" w:eastAsia="Open Sans Light" w:hAnsi="Open Sans Light" w:cs="Open Sans Light"/>
          <w:sz w:val="20"/>
          <w:szCs w:val="20"/>
        </w:rPr>
        <w:t xml:space="preserve">Instead of buying stocks, bonds, and other investments individually—which can be both expensive and time-consuming—buying shares of an ETF can provide exposure to a broad range of investments in one transaction. Distributing your portfolio across many industries, types of investments, and regions can help reduce your portfolio’s risk </w:t>
      </w:r>
      <w:r w:rsidR="00DE2206">
        <w:rPr>
          <w:rFonts w:ascii="Open Sans Light" w:eastAsia="Open Sans Light" w:hAnsi="Open Sans Light" w:cs="Open Sans Light"/>
          <w:sz w:val="20"/>
          <w:szCs w:val="20"/>
        </w:rPr>
        <w:t xml:space="preserve">when markets </w:t>
      </w:r>
      <w:r w:rsidR="00E07F8C">
        <w:rPr>
          <w:rFonts w:ascii="Open Sans Light" w:eastAsia="Open Sans Light" w:hAnsi="Open Sans Light" w:cs="Open Sans Light"/>
          <w:sz w:val="20"/>
          <w:szCs w:val="20"/>
        </w:rPr>
        <w:t xml:space="preserve">become </w:t>
      </w:r>
      <w:r w:rsidR="00DE2206">
        <w:rPr>
          <w:rFonts w:ascii="Open Sans Light" w:eastAsia="Open Sans Light" w:hAnsi="Open Sans Light" w:cs="Open Sans Light"/>
          <w:sz w:val="20"/>
          <w:szCs w:val="20"/>
        </w:rPr>
        <w:t>volatile</w:t>
      </w:r>
      <w:r w:rsidR="00D209A8">
        <w:rPr>
          <w:rFonts w:ascii="Open Sans Light" w:eastAsia="Open Sans Light" w:hAnsi="Open Sans Light" w:cs="Open Sans Light"/>
          <w:sz w:val="20"/>
          <w:szCs w:val="20"/>
        </w:rPr>
        <w:t>.</w:t>
      </w:r>
      <w:r w:rsidR="00DE2206" w:rsidDel="00DE2206">
        <w:rPr>
          <w:rFonts w:ascii="Open Sans Light" w:eastAsia="Open Sans Light" w:hAnsi="Open Sans Light" w:cs="Open Sans Light"/>
          <w:sz w:val="20"/>
          <w:szCs w:val="20"/>
        </w:rPr>
        <w:t xml:space="preserve"> </w:t>
      </w:r>
    </w:p>
    <w:p w14:paraId="0000002F" w14:textId="77777777" w:rsidR="005232F9" w:rsidRDefault="005232F9">
      <w:pPr>
        <w:spacing w:line="240" w:lineRule="auto"/>
        <w:rPr>
          <w:rFonts w:ascii="Open Sans Light" w:eastAsia="Open Sans Light" w:hAnsi="Open Sans Light" w:cs="Open Sans Light"/>
          <w:sz w:val="20"/>
          <w:szCs w:val="20"/>
        </w:rPr>
      </w:pPr>
    </w:p>
    <w:p w14:paraId="00000030" w14:textId="77777777" w:rsidR="005232F9" w:rsidRDefault="00B83EA8">
      <w:pPr>
        <w:spacing w:line="240" w:lineRule="auto"/>
        <w:rPr>
          <w:rFonts w:ascii="Open Sans Light" w:eastAsia="Open Sans Light" w:hAnsi="Open Sans Light" w:cs="Open Sans Light"/>
          <w:sz w:val="20"/>
          <w:szCs w:val="20"/>
        </w:rPr>
      </w:pPr>
      <w:r>
        <w:rPr>
          <w:rFonts w:ascii="Open Sans Semibold" w:eastAsia="Open Sans Semibold" w:hAnsi="Open Sans Semibold" w:cs="Open Sans Semibold"/>
          <w:b/>
          <w:color w:val="002D6E"/>
          <w:sz w:val="28"/>
          <w:szCs w:val="28"/>
        </w:rPr>
        <w:t>Good to remember</w:t>
      </w:r>
    </w:p>
    <w:p w14:paraId="00000031" w14:textId="77777777" w:rsidR="005232F9" w:rsidRDefault="005232F9">
      <w:pPr>
        <w:spacing w:line="240" w:lineRule="auto"/>
        <w:rPr>
          <w:rFonts w:ascii="Open Sans Light" w:eastAsia="Open Sans Light" w:hAnsi="Open Sans Light" w:cs="Open Sans Light"/>
          <w:sz w:val="20"/>
          <w:szCs w:val="20"/>
        </w:rPr>
      </w:pPr>
    </w:p>
    <w:p w14:paraId="00000032" w14:textId="19FAE08D" w:rsidR="005232F9" w:rsidRDefault="00B83EA8">
      <w:pPr>
        <w:spacing w:line="240" w:lineRule="auto"/>
        <w:rPr>
          <w:rFonts w:ascii="Open Sans Semibold" w:eastAsia="Open Sans Semibold" w:hAnsi="Open Sans Semibold" w:cs="Open Sans Semibold"/>
          <w:b/>
          <w:color w:val="002D6E"/>
          <w:sz w:val="28"/>
          <w:szCs w:val="28"/>
        </w:rPr>
      </w:pPr>
      <w:r>
        <w:rPr>
          <w:rFonts w:ascii="Open Sans Light" w:eastAsia="Open Sans Light" w:hAnsi="Open Sans Light" w:cs="Open Sans Light"/>
          <w:sz w:val="20"/>
          <w:szCs w:val="20"/>
        </w:rPr>
        <w:t xml:space="preserve">If you are considering purchasing shares of an ETF, do your research and make sure that its </w:t>
      </w:r>
      <w:r w:rsidR="00672136">
        <w:rPr>
          <w:rFonts w:ascii="Open Sans Light" w:eastAsia="Open Sans Light" w:hAnsi="Open Sans Light" w:cs="Open Sans Light"/>
          <w:sz w:val="20"/>
          <w:szCs w:val="20"/>
        </w:rPr>
        <w:t xml:space="preserve">objectives </w:t>
      </w:r>
      <w:r>
        <w:rPr>
          <w:rFonts w:ascii="Open Sans Light" w:eastAsia="Open Sans Light" w:hAnsi="Open Sans Light" w:cs="Open Sans Light"/>
          <w:sz w:val="20"/>
          <w:szCs w:val="20"/>
        </w:rPr>
        <w:t xml:space="preserve">align with your own. That includes understanding whether it’s passive or active, what underlying investments it owns, its annual expense ratio, and any other costs or fees that may apply. </w:t>
      </w:r>
    </w:p>
    <w:p w14:paraId="00000033" w14:textId="77777777" w:rsidR="005232F9" w:rsidRDefault="005232F9">
      <w:pPr>
        <w:spacing w:line="240" w:lineRule="auto"/>
        <w:rPr>
          <w:rFonts w:ascii="Open Sans Light" w:eastAsia="Open Sans Light" w:hAnsi="Open Sans Light" w:cs="Open Sans Light"/>
          <w:sz w:val="20"/>
          <w:szCs w:val="20"/>
        </w:rPr>
      </w:pPr>
    </w:p>
    <w:p w14:paraId="00000034" w14:textId="77777777" w:rsidR="005232F9" w:rsidRDefault="00B83EA8">
      <w:pPr>
        <w:spacing w:after="160" w:line="240" w:lineRule="auto"/>
        <w:rPr>
          <w:rFonts w:ascii="Open Sans Light" w:eastAsia="Open Sans Light" w:hAnsi="Open Sans Light" w:cs="Open Sans Light"/>
          <w:sz w:val="20"/>
          <w:szCs w:val="20"/>
        </w:rPr>
      </w:pPr>
      <w:r>
        <w:rPr>
          <w:rFonts w:ascii="Tahoma" w:eastAsia="Tahoma" w:hAnsi="Tahoma" w:cs="Tahoma"/>
          <w:sz w:val="36"/>
          <w:szCs w:val="36"/>
        </w:rPr>
        <w:t>YOUR NEXT STEPS</w:t>
      </w:r>
    </w:p>
    <w:p w14:paraId="00000035" w14:textId="77777777" w:rsidR="005232F9" w:rsidRDefault="00B83EA8">
      <w:pPr>
        <w:spacing w:line="240" w:lineRule="auto"/>
        <w:rPr>
          <w:rFonts w:ascii="Open Sans Light" w:eastAsia="Open Sans Light" w:hAnsi="Open Sans Light" w:cs="Open Sans Light"/>
          <w:sz w:val="20"/>
          <w:szCs w:val="20"/>
        </w:rPr>
      </w:pPr>
      <w:r>
        <w:rPr>
          <w:rFonts w:ascii="Open Sans Light" w:eastAsia="Open Sans Light" w:hAnsi="Open Sans Light" w:cs="Open Sans Light"/>
          <w:sz w:val="20"/>
          <w:szCs w:val="20"/>
        </w:rPr>
        <w:t>Find out if ETF investing is right for you.</w:t>
      </w:r>
    </w:p>
    <w:p w14:paraId="00000036" w14:textId="77777777" w:rsidR="005232F9" w:rsidRDefault="00B83EA8">
      <w:pPr>
        <w:numPr>
          <w:ilvl w:val="0"/>
          <w:numId w:val="4"/>
        </w:numPr>
        <w:spacing w:before="240" w:line="240" w:lineRule="auto"/>
        <w:rPr>
          <w:rFonts w:ascii="Open Sans Light" w:eastAsia="Open Sans Light" w:hAnsi="Open Sans Light" w:cs="Open Sans Light"/>
          <w:sz w:val="20"/>
          <w:szCs w:val="20"/>
        </w:rPr>
      </w:pPr>
      <w:r>
        <w:rPr>
          <w:rFonts w:ascii="Open Sans Light" w:eastAsia="Open Sans Light" w:hAnsi="Open Sans Light" w:cs="Open Sans Light"/>
          <w:sz w:val="20"/>
          <w:szCs w:val="20"/>
        </w:rPr>
        <w:t xml:space="preserve">Learn how ETFs compare to mutual funds: </w:t>
      </w:r>
      <w:hyperlink r:id="rId5">
        <w:r>
          <w:rPr>
            <w:rFonts w:ascii="Open Sans Light" w:eastAsia="Open Sans Light" w:hAnsi="Open Sans Light" w:cs="Open Sans Light"/>
            <w:color w:val="1155CC"/>
            <w:sz w:val="20"/>
            <w:szCs w:val="20"/>
            <w:u w:val="single"/>
          </w:rPr>
          <w:t>Financial Jargon Busting: Mutual Funds vs. ETFs</w:t>
        </w:r>
      </w:hyperlink>
      <w:r>
        <w:rPr>
          <w:rFonts w:ascii="Open Sans Light" w:eastAsia="Open Sans Light" w:hAnsi="Open Sans Light" w:cs="Open Sans Light"/>
          <w:sz w:val="20"/>
          <w:szCs w:val="20"/>
        </w:rPr>
        <w:t>.</w:t>
      </w:r>
    </w:p>
    <w:p w14:paraId="00000037" w14:textId="7B6735EE" w:rsidR="005232F9" w:rsidRDefault="00B83EA8">
      <w:pPr>
        <w:numPr>
          <w:ilvl w:val="0"/>
          <w:numId w:val="4"/>
        </w:numPr>
        <w:spacing w:line="240" w:lineRule="auto"/>
        <w:rPr>
          <w:rFonts w:ascii="Open Sans Light" w:eastAsia="Open Sans Light" w:hAnsi="Open Sans Light" w:cs="Open Sans Light"/>
          <w:sz w:val="20"/>
          <w:szCs w:val="20"/>
        </w:rPr>
      </w:pPr>
      <w:r>
        <w:rPr>
          <w:rFonts w:ascii="Open Sans Light" w:eastAsia="Open Sans Light" w:hAnsi="Open Sans Light" w:cs="Open Sans Light"/>
          <w:sz w:val="20"/>
          <w:szCs w:val="20"/>
        </w:rPr>
        <w:t xml:space="preserve">Check out You </w:t>
      </w:r>
      <w:proofErr w:type="spellStart"/>
      <w:r>
        <w:rPr>
          <w:rFonts w:ascii="Open Sans Light" w:eastAsia="Open Sans Light" w:hAnsi="Open Sans Light" w:cs="Open Sans Light"/>
          <w:sz w:val="20"/>
          <w:szCs w:val="20"/>
        </w:rPr>
        <w:t>Invest</w:t>
      </w:r>
      <w:r w:rsidR="00977418" w:rsidRPr="00977418">
        <w:rPr>
          <w:rFonts w:ascii="Open Sans Light" w:eastAsia="Open Sans Light" w:hAnsi="Open Sans Light" w:cs="Open Sans Light"/>
          <w:sz w:val="20"/>
          <w:szCs w:val="20"/>
          <w:vertAlign w:val="superscript"/>
        </w:rPr>
        <w:t>SM</w:t>
      </w:r>
      <w:proofErr w:type="spellEnd"/>
      <w:r>
        <w:rPr>
          <w:rFonts w:ascii="Open Sans Light" w:eastAsia="Open Sans Light" w:hAnsi="Open Sans Light" w:cs="Open Sans Light"/>
          <w:sz w:val="20"/>
          <w:szCs w:val="20"/>
        </w:rPr>
        <w:t xml:space="preserve"> Trade, where you can buy and sell ETFs. </w:t>
      </w:r>
    </w:p>
    <w:p w14:paraId="00000039" w14:textId="77777777" w:rsidR="005232F9" w:rsidRDefault="005232F9"/>
    <w:p w14:paraId="02B22246" w14:textId="06D99373" w:rsidR="0001044B" w:rsidRPr="0001044B" w:rsidRDefault="0001044B">
      <w:pPr>
        <w:rPr>
          <w:b/>
          <w:color w:val="FF0000"/>
          <w:u w:val="single"/>
        </w:rPr>
      </w:pPr>
      <w:r w:rsidRPr="0001044B">
        <w:rPr>
          <w:b/>
          <w:color w:val="FF0000"/>
          <w:u w:val="single"/>
        </w:rPr>
        <w:t>DISCLOSURES</w:t>
      </w:r>
    </w:p>
    <w:p w14:paraId="6D27EBCC" w14:textId="77777777" w:rsidR="00AA6E6A" w:rsidRDefault="00AA6E6A"/>
    <w:p w14:paraId="27D995DA" w14:textId="5F54A896" w:rsidR="0001044B" w:rsidRPr="00781ADF" w:rsidRDefault="0001044B" w:rsidP="0001044B">
      <w:pPr>
        <w:spacing w:after="160" w:line="256" w:lineRule="auto"/>
        <w:rPr>
          <w:rFonts w:asciiTheme="majorHAnsi" w:eastAsia="Calibri" w:hAnsiTheme="majorHAnsi" w:cstheme="majorHAnsi"/>
          <w:sz w:val="24"/>
          <w:szCs w:val="24"/>
        </w:rPr>
      </w:pPr>
      <w:r w:rsidRPr="00781ADF">
        <w:rPr>
          <w:rFonts w:asciiTheme="majorHAnsi" w:eastAsia="Calibri" w:hAnsiTheme="majorHAnsi" w:cstheme="majorHAnsi"/>
          <w:color w:val="000000"/>
          <w:sz w:val="24"/>
          <w:szCs w:val="24"/>
        </w:rPr>
        <w:t xml:space="preserve">You Invest is a business of </w:t>
      </w:r>
      <w:r w:rsidRPr="00781ADF">
        <w:rPr>
          <w:rFonts w:asciiTheme="majorHAnsi" w:eastAsia="Calibri" w:hAnsiTheme="majorHAnsi" w:cstheme="majorHAnsi"/>
          <w:b/>
          <w:bCs/>
          <w:color w:val="000000"/>
          <w:sz w:val="24"/>
          <w:szCs w:val="24"/>
        </w:rPr>
        <w:t xml:space="preserve">J.P. Morgan Securities LLC </w:t>
      </w:r>
      <w:r w:rsidRPr="00781ADF">
        <w:rPr>
          <w:rFonts w:asciiTheme="majorHAnsi" w:eastAsia="Calibri" w:hAnsiTheme="majorHAnsi" w:cstheme="majorHAnsi"/>
          <w:color w:val="000000"/>
          <w:sz w:val="24"/>
          <w:szCs w:val="24"/>
        </w:rPr>
        <w:t xml:space="preserve">offering self-directed brokerage (You Invest Trade) and investment advisory services (You Invest Portfolios). </w:t>
      </w:r>
    </w:p>
    <w:p w14:paraId="615682D1" w14:textId="77777777" w:rsidR="0001044B" w:rsidRPr="00781ADF" w:rsidRDefault="0001044B" w:rsidP="0001044B">
      <w:pPr>
        <w:spacing w:after="160" w:line="259" w:lineRule="auto"/>
        <w:rPr>
          <w:rFonts w:asciiTheme="majorHAnsi" w:eastAsia="Calibri" w:hAnsiTheme="majorHAnsi" w:cstheme="majorHAnsi"/>
          <w:sz w:val="24"/>
          <w:szCs w:val="24"/>
        </w:rPr>
      </w:pPr>
      <w:r w:rsidRPr="00781ADF">
        <w:rPr>
          <w:rFonts w:asciiTheme="majorHAnsi" w:eastAsia="Calibri" w:hAnsiTheme="majorHAnsi" w:cstheme="majorHAnsi"/>
          <w:sz w:val="24"/>
          <w:szCs w:val="24"/>
        </w:rPr>
        <w:t>The views, opinions, estimates and strategies expressed herein constitutes the author’s judgment based on current market conditions and are subject to change without notice, and may differ from those expressed by other areas of J.P. Morgan. This information in no way constitute J.P. Morgan Research and should not be treated as such. You should carefully consider your needs and objectives before making any decisions.  For additional guidance on how this information should be applied to your situation, you should consult your advisor.</w:t>
      </w:r>
    </w:p>
    <w:p w14:paraId="4EE575B9" w14:textId="77777777" w:rsidR="0001044B" w:rsidRPr="00781ADF" w:rsidRDefault="0001044B" w:rsidP="0001044B">
      <w:pPr>
        <w:spacing w:after="160" w:line="259" w:lineRule="auto"/>
        <w:rPr>
          <w:rFonts w:asciiTheme="majorHAnsi" w:eastAsia="Calibri" w:hAnsiTheme="majorHAnsi" w:cstheme="majorHAnsi"/>
          <w:b/>
          <w:bCs/>
          <w:sz w:val="24"/>
          <w:szCs w:val="24"/>
        </w:rPr>
      </w:pPr>
      <w:r w:rsidRPr="00781ADF">
        <w:rPr>
          <w:rFonts w:asciiTheme="majorHAnsi" w:eastAsia="Calibri" w:hAnsiTheme="majorHAnsi" w:cstheme="majorHAnsi"/>
          <w:b/>
          <w:bCs/>
          <w:sz w:val="24"/>
          <w:szCs w:val="24"/>
        </w:rPr>
        <w:t xml:space="preserve">Investing in securities involves risks, and there is always the potential of losing money when you invest in securities. Past performance is not a guarantee of future results. </w:t>
      </w:r>
    </w:p>
    <w:p w14:paraId="55DACED9" w14:textId="3D4EF7B7" w:rsidR="00977418" w:rsidRPr="00781ADF" w:rsidRDefault="0001044B" w:rsidP="0001044B">
      <w:pPr>
        <w:spacing w:after="160" w:line="259" w:lineRule="auto"/>
        <w:rPr>
          <w:rFonts w:asciiTheme="majorHAnsi" w:eastAsia="Calibri" w:hAnsiTheme="majorHAnsi" w:cstheme="majorHAnsi"/>
          <w:b/>
          <w:bCs/>
          <w:sz w:val="24"/>
          <w:szCs w:val="24"/>
        </w:rPr>
      </w:pPr>
      <w:r w:rsidRPr="00781ADF">
        <w:rPr>
          <w:rFonts w:asciiTheme="majorHAnsi" w:eastAsia="Calibri" w:hAnsiTheme="majorHAnsi" w:cstheme="majorHAnsi"/>
          <w:b/>
          <w:bCs/>
          <w:sz w:val="24"/>
          <w:szCs w:val="24"/>
        </w:rPr>
        <w:t>Asset allocation/diversification does not guarantee a profit or protect against loss.</w:t>
      </w:r>
    </w:p>
    <w:p w14:paraId="463E30B3" w14:textId="5ADF2302" w:rsidR="00977418" w:rsidRPr="00781ADF" w:rsidRDefault="00977418" w:rsidP="0001044B">
      <w:pPr>
        <w:spacing w:after="160" w:line="259" w:lineRule="auto"/>
        <w:rPr>
          <w:rFonts w:asciiTheme="majorHAnsi" w:eastAsia="Calibri" w:hAnsiTheme="majorHAnsi" w:cstheme="majorHAnsi"/>
          <w:b/>
          <w:bCs/>
          <w:sz w:val="24"/>
          <w:szCs w:val="24"/>
        </w:rPr>
      </w:pPr>
      <w:r w:rsidRPr="00781ADF">
        <w:rPr>
          <w:rFonts w:asciiTheme="majorHAnsi" w:hAnsiTheme="majorHAnsi" w:cstheme="majorHAnsi"/>
          <w:b/>
          <w:bCs/>
          <w:color w:val="000000"/>
          <w:sz w:val="24"/>
          <w:szCs w:val="24"/>
        </w:rPr>
        <w:lastRenderedPageBreak/>
        <w:t>When investing in ETFs, investors should carefully consider the investment objectives and risks as well as charges and expenses of the fund before investing. To obtain a prospectus, visit the fund company’s website. The prospectus contains this and other information about the fund. Read the prospectus carefully before investing.</w:t>
      </w:r>
    </w:p>
    <w:p w14:paraId="25E5427A" w14:textId="77777777" w:rsidR="0001044B" w:rsidRPr="00781ADF" w:rsidRDefault="0001044B" w:rsidP="0001044B">
      <w:pPr>
        <w:autoSpaceDE w:val="0"/>
        <w:autoSpaceDN w:val="0"/>
        <w:spacing w:line="240" w:lineRule="atLeast"/>
        <w:rPr>
          <w:rFonts w:asciiTheme="majorHAnsi" w:hAnsiTheme="majorHAnsi" w:cstheme="majorHAnsi"/>
          <w:sz w:val="24"/>
          <w:szCs w:val="24"/>
        </w:rPr>
      </w:pPr>
      <w:r w:rsidRPr="00781ADF">
        <w:rPr>
          <w:rFonts w:asciiTheme="majorHAnsi" w:hAnsiTheme="majorHAnsi" w:cstheme="majorHAnsi"/>
          <w:sz w:val="24"/>
          <w:szCs w:val="24"/>
        </w:rPr>
        <w:t>The price of equity securities may rise or fall due to the changes in the broad market or changes in a company’s financial condition, sometimes rapidly or unpredictably.  Equity securities are subject to ‘stock market risk’ meaning that stock prices in general may decline over short or extended periods of time.</w:t>
      </w:r>
    </w:p>
    <w:p w14:paraId="6734139E" w14:textId="77777777" w:rsidR="0001044B" w:rsidRPr="00781ADF" w:rsidRDefault="0001044B" w:rsidP="0001044B">
      <w:pPr>
        <w:rPr>
          <w:rFonts w:asciiTheme="majorHAnsi" w:eastAsia="Calibri" w:hAnsiTheme="majorHAnsi" w:cstheme="majorHAnsi"/>
          <w:sz w:val="24"/>
          <w:szCs w:val="24"/>
        </w:rPr>
      </w:pPr>
    </w:p>
    <w:p w14:paraId="128537DF" w14:textId="17F2243A" w:rsidR="00977418" w:rsidRPr="00781ADF" w:rsidRDefault="00977418" w:rsidP="00977418">
      <w:pPr>
        <w:pStyle w:val="NormalWeb"/>
        <w:rPr>
          <w:rFonts w:asciiTheme="majorHAnsi" w:hAnsiTheme="majorHAnsi" w:cstheme="majorHAnsi"/>
        </w:rPr>
      </w:pPr>
      <w:r w:rsidRPr="00781ADF">
        <w:rPr>
          <w:rFonts w:asciiTheme="majorHAnsi" w:hAnsiTheme="majorHAnsi" w:cstheme="majorHAnsi"/>
        </w:rPr>
        <w:t>JPMorgan Chase and its affiliates do not provide tax, legal or accounting advice. This material has been prepared for informational purposes only, and is not intended to provide, and should not be relied on for, tax, legal or accounting advice. You should consult your own tax, legal and accounting advisors before engaging in any financial transaction.</w:t>
      </w:r>
    </w:p>
    <w:p w14:paraId="1BBD2EB2" w14:textId="77777777" w:rsidR="00977418" w:rsidRPr="00781ADF" w:rsidRDefault="00977418" w:rsidP="0001044B">
      <w:pPr>
        <w:rPr>
          <w:rFonts w:asciiTheme="majorHAnsi" w:eastAsia="Calibri" w:hAnsiTheme="majorHAnsi" w:cstheme="majorHAnsi"/>
          <w:sz w:val="24"/>
          <w:szCs w:val="24"/>
        </w:rPr>
      </w:pPr>
    </w:p>
    <w:p w14:paraId="53E1714F" w14:textId="77777777" w:rsidR="0001044B" w:rsidRPr="005367F6" w:rsidRDefault="0001044B" w:rsidP="0001044B">
      <w:pPr>
        <w:spacing w:line="240" w:lineRule="atLeast"/>
        <w:rPr>
          <w:rFonts w:ascii="Calibri" w:hAnsi="Calibri"/>
          <w:color w:val="000000"/>
        </w:rPr>
      </w:pPr>
      <w:r w:rsidRPr="00781ADF">
        <w:rPr>
          <w:rFonts w:asciiTheme="majorHAnsi" w:hAnsiTheme="majorHAnsi" w:cstheme="majorHAnsi"/>
          <w:color w:val="000000"/>
          <w:sz w:val="24"/>
          <w:szCs w:val="24"/>
        </w:rPr>
        <w:t>International investments may not be suitable for all investors.  International investing involves a greater degree of risk and increased vola</w:t>
      </w:r>
      <w:r w:rsidRPr="005367F6">
        <w:rPr>
          <w:rFonts w:ascii="Calibri" w:hAnsi="Calibri"/>
          <w:color w:val="000000"/>
        </w:rPr>
        <w:t>tility. Changes in currency exchange rates and differences in accounting and taxation policies outside the U.S. can raise or lower returns. Some overseas markets may not be as politically and economically stable as the United States and other nations. Investments in international markets can be more volatile.</w:t>
      </w:r>
    </w:p>
    <w:p w14:paraId="0AC4C689" w14:textId="77777777" w:rsidR="0001044B" w:rsidRPr="005367F6" w:rsidRDefault="0001044B" w:rsidP="0001044B">
      <w:pPr>
        <w:spacing w:line="240" w:lineRule="atLeast"/>
        <w:rPr>
          <w:rFonts w:ascii="Calibri" w:hAnsi="Calibri"/>
          <w:color w:val="000000"/>
        </w:rPr>
      </w:pPr>
    </w:p>
    <w:p w14:paraId="3A011949" w14:textId="25CFCDF6" w:rsidR="0001044B" w:rsidRPr="005367F6" w:rsidRDefault="0001044B" w:rsidP="0001044B">
      <w:pPr>
        <w:spacing w:line="240" w:lineRule="atLeast"/>
        <w:rPr>
          <w:rFonts w:ascii="Calibri" w:hAnsi="Calibri"/>
          <w:color w:val="000000"/>
        </w:rPr>
      </w:pPr>
      <w:r w:rsidRPr="005367F6">
        <w:rPr>
          <w:rFonts w:ascii="Calibri" w:hAnsi="Calibri"/>
          <w:color w:val="000000"/>
        </w:rPr>
        <w:t>When investing in mutual funds or exchange-traded and index funds, please consider the investment objectives, risks, charges, and expenses associated with the funds before investing. You may obtain a fund’s prospectus by contacting your investment professional or visiting the fund company’s website. The prospectus contains this and other information, which should be carefully read before investing.</w:t>
      </w:r>
    </w:p>
    <w:p w14:paraId="5733E31B" w14:textId="77777777" w:rsidR="0001044B" w:rsidRPr="005367F6" w:rsidRDefault="0001044B" w:rsidP="0001044B">
      <w:pPr>
        <w:spacing w:line="240" w:lineRule="atLeast"/>
        <w:rPr>
          <w:rFonts w:ascii="Calibri" w:hAnsi="Calibri"/>
          <w:color w:val="000000"/>
        </w:rPr>
      </w:pPr>
    </w:p>
    <w:p w14:paraId="14DA86A5" w14:textId="3C3BDB31" w:rsidR="0001044B" w:rsidRPr="005367F6" w:rsidRDefault="0001044B" w:rsidP="0001044B">
      <w:pPr>
        <w:spacing w:after="160" w:line="259" w:lineRule="auto"/>
        <w:rPr>
          <w:rFonts w:ascii="Calibri" w:eastAsia="Calibri" w:hAnsi="Calibri"/>
        </w:rPr>
      </w:pPr>
      <w:r w:rsidRPr="005367F6">
        <w:rPr>
          <w:rFonts w:ascii="Calibri" w:eastAsia="Calibri" w:hAnsi="Calibri"/>
        </w:rPr>
        <w:t>Products, accounts and services are offered through different service models (for example, self-directed, full-service).  Based on the service model, the same or similar products, accounts and services may vary in their price or fees charged to a client.  JPMorgan Chase &amp; Co., its affiliates, and employees do not provide tax, legal or accounting advice.   Information presented on these webpages is not intended to provide, and should not be relied on for tax, legal and accounting advice.   You should consult your own tax, legal and accounting advisors before engaging in any financial transaction.</w:t>
      </w:r>
    </w:p>
    <w:p w14:paraId="1E6C229D" w14:textId="77777777" w:rsidR="0001044B" w:rsidRPr="005367F6" w:rsidRDefault="0001044B" w:rsidP="0001044B">
      <w:pPr>
        <w:spacing w:after="160" w:line="259" w:lineRule="auto"/>
        <w:rPr>
          <w:rFonts w:ascii="Calibri" w:eastAsia="Calibri" w:hAnsi="Calibri"/>
        </w:rPr>
      </w:pPr>
      <w:r w:rsidRPr="005367F6">
        <w:rPr>
          <w:rFonts w:ascii="Calibri" w:eastAsia="Calibri" w:hAnsi="Calibri"/>
          <w:b/>
          <w:bCs/>
        </w:rPr>
        <w:t>This webpage and the information presented are intended for informational purposes only.</w:t>
      </w:r>
      <w:r w:rsidRPr="005367F6">
        <w:rPr>
          <w:rFonts w:ascii="Calibri" w:eastAsia="Calibri" w:hAnsi="Calibri"/>
        </w:rPr>
        <w:t xml:space="preserve"> While certain information contained herein has been obtained from sources believed to be reliable, neither J.P. Morgan Securities LLC ("JPMS") nor its affiliates (collectively, "JP Morgan") have independently verified this information and its accuracy and completeness cannot be guaranteed. Accordingly, no representation or warranty, express or implied is made as to, and no reliance should be placed on, the fairness, accuracy, or completeness of this information. JP Morgan assumes no liability for this information. It does not constitute an offer to sell, or a recommendation to purchase, or a solicitation of an offer to buy, any security, nor shall any such security be offered or sold to any person in any jurisdiction in which such offer, solicitation, purchase, or sale may not lawfully be made. Except as otherwise required by law, all transactions will be processed on a best </w:t>
      </w:r>
      <w:proofErr w:type="gramStart"/>
      <w:r w:rsidRPr="005367F6">
        <w:rPr>
          <w:rFonts w:ascii="Calibri" w:eastAsia="Calibri" w:hAnsi="Calibri"/>
        </w:rPr>
        <w:t>efforts</w:t>
      </w:r>
      <w:proofErr w:type="gramEnd"/>
      <w:r w:rsidRPr="005367F6">
        <w:rPr>
          <w:rFonts w:ascii="Calibri" w:eastAsia="Calibri" w:hAnsi="Calibri"/>
        </w:rPr>
        <w:t xml:space="preserve"> basis. The information presented, as well as availability of any security or fund, are subject to change without </w:t>
      </w:r>
      <w:r w:rsidRPr="005367F6">
        <w:rPr>
          <w:rFonts w:ascii="Calibri" w:eastAsia="Calibri" w:hAnsi="Calibri"/>
        </w:rPr>
        <w:lastRenderedPageBreak/>
        <w:t>notice.  Investment minimums for certain funds are set forth in the prospectus and may be subject to change. As a reminder, your trade confirmations, account statements, and tax reporting constitute the official record of your account and its activity. Market data feeds on this site differ from, those used in statements. If you have any questions, please contact us.</w:t>
      </w:r>
    </w:p>
    <w:p w14:paraId="35789D21" w14:textId="77777777" w:rsidR="0001044B" w:rsidRPr="005367F6" w:rsidRDefault="0001044B" w:rsidP="0001044B">
      <w:pPr>
        <w:spacing w:after="160" w:line="259" w:lineRule="auto"/>
        <w:rPr>
          <w:rFonts w:ascii="Calibri" w:eastAsia="Calibri" w:hAnsi="Calibri"/>
        </w:rPr>
      </w:pPr>
    </w:p>
    <w:p w14:paraId="6F30C863" w14:textId="77777777" w:rsidR="0001044B" w:rsidRPr="005367F6" w:rsidRDefault="0001044B" w:rsidP="0001044B">
      <w:pPr>
        <w:spacing w:after="160" w:line="259" w:lineRule="auto"/>
        <w:rPr>
          <w:rFonts w:ascii="Calibri" w:eastAsia="Calibri" w:hAnsi="Calibri"/>
        </w:rPr>
      </w:pPr>
      <w:r w:rsidRPr="005367F6">
        <w:rPr>
          <w:rFonts w:ascii="Calibri" w:eastAsia="Calibri" w:hAnsi="Calibri"/>
        </w:rPr>
        <w:t>System availability and response time are subject to market conditions and possible unscheduled outages.</w:t>
      </w:r>
    </w:p>
    <w:p w14:paraId="3D847028" w14:textId="77777777" w:rsidR="0001044B" w:rsidRPr="005367F6" w:rsidRDefault="0001044B" w:rsidP="0001044B">
      <w:pPr>
        <w:spacing w:after="160" w:line="259" w:lineRule="auto"/>
        <w:rPr>
          <w:rFonts w:ascii="Calibri" w:eastAsia="Calibri" w:hAnsi="Calibri"/>
        </w:rPr>
      </w:pPr>
    </w:p>
    <w:p w14:paraId="1CCF817B" w14:textId="77777777" w:rsidR="0001044B" w:rsidRPr="005367F6" w:rsidRDefault="00C449A5" w:rsidP="0001044B">
      <w:pPr>
        <w:spacing w:after="160" w:line="259" w:lineRule="auto"/>
        <w:rPr>
          <w:rFonts w:ascii="Calibri" w:eastAsia="Calibri" w:hAnsi="Calibri"/>
        </w:rPr>
      </w:pPr>
      <w:hyperlink r:id="rId6" w:history="1">
        <w:r w:rsidR="0001044B" w:rsidRPr="005367F6">
          <w:rPr>
            <w:rFonts w:ascii="Calibri" w:eastAsia="Calibri" w:hAnsi="Calibri"/>
            <w:color w:val="0563C1"/>
            <w:u w:val="single"/>
          </w:rPr>
          <w:t>Learn more</w:t>
        </w:r>
      </w:hyperlink>
      <w:r w:rsidR="0001044B" w:rsidRPr="005367F6">
        <w:rPr>
          <w:rFonts w:ascii="Calibri" w:eastAsia="Calibri" w:hAnsi="Calibri"/>
        </w:rPr>
        <w:t xml:space="preserve"> about our firm and investment professionals at FINRA BROKERCHECK.</w:t>
      </w:r>
    </w:p>
    <w:p w14:paraId="5FA70214" w14:textId="77777777" w:rsidR="0001044B" w:rsidRPr="005367F6" w:rsidRDefault="0001044B" w:rsidP="0001044B">
      <w:pPr>
        <w:spacing w:after="160" w:line="259" w:lineRule="auto"/>
        <w:rPr>
          <w:rFonts w:ascii="Calibri" w:eastAsia="Calibri" w:hAnsi="Calibri"/>
        </w:rPr>
      </w:pPr>
    </w:p>
    <w:p w14:paraId="2507B486" w14:textId="77777777" w:rsidR="0001044B" w:rsidRPr="005367F6" w:rsidRDefault="0001044B" w:rsidP="0001044B">
      <w:pPr>
        <w:spacing w:after="160" w:line="259" w:lineRule="auto"/>
        <w:rPr>
          <w:rFonts w:ascii="Calibri" w:eastAsia="Calibri" w:hAnsi="Calibri"/>
        </w:rPr>
      </w:pPr>
      <w:r w:rsidRPr="005367F6">
        <w:rPr>
          <w:rFonts w:ascii="Calibri" w:eastAsia="Calibri" w:hAnsi="Calibri"/>
        </w:rPr>
        <w:t xml:space="preserve">For additional investment-related disclosures, please go to: </w:t>
      </w:r>
      <w:hyperlink r:id="rId7" w:anchor="/dashboard/investmentDisclosure/index" w:history="1">
        <w:r w:rsidRPr="005367F6">
          <w:rPr>
            <w:rFonts w:ascii="Calibri" w:eastAsia="Calibri" w:hAnsi="Calibri"/>
            <w:color w:val="0563C1"/>
            <w:u w:val="single"/>
          </w:rPr>
          <w:t>Disclosures for Investment Accounts</w:t>
        </w:r>
      </w:hyperlink>
      <w:r w:rsidRPr="005367F6">
        <w:rPr>
          <w:rFonts w:ascii="Calibri" w:eastAsia="Calibri" w:hAnsi="Calibri"/>
        </w:rPr>
        <w:t>.</w:t>
      </w:r>
    </w:p>
    <w:p w14:paraId="33A54ACD" w14:textId="77777777" w:rsidR="0001044B" w:rsidRPr="005367F6" w:rsidRDefault="0001044B" w:rsidP="0001044B">
      <w:pPr>
        <w:spacing w:after="160" w:line="259" w:lineRule="auto"/>
        <w:rPr>
          <w:rFonts w:ascii="Calibri" w:eastAsia="Calibri" w:hAnsi="Calibri"/>
        </w:rPr>
      </w:pPr>
    </w:p>
    <w:p w14:paraId="6733774F" w14:textId="77777777" w:rsidR="0001044B" w:rsidRPr="005367F6" w:rsidRDefault="0001044B" w:rsidP="0001044B">
      <w:pPr>
        <w:spacing w:after="160" w:line="259" w:lineRule="auto"/>
        <w:rPr>
          <w:rFonts w:ascii="Calibri" w:eastAsia="Calibri" w:hAnsi="Calibri"/>
        </w:rPr>
      </w:pPr>
      <w:r w:rsidRPr="005367F6">
        <w:rPr>
          <w:rFonts w:ascii="Calibri" w:eastAsia="Calibri" w:hAnsi="Calibri"/>
        </w:rPr>
        <w:t xml:space="preserve">For other important disclosures, please go to: </w:t>
      </w:r>
      <w:hyperlink r:id="rId8" w:history="1">
        <w:r w:rsidRPr="005367F6">
          <w:rPr>
            <w:rFonts w:ascii="Calibri" w:eastAsia="Calibri" w:hAnsi="Calibri"/>
            <w:color w:val="0563C1"/>
            <w:u w:val="single"/>
          </w:rPr>
          <w:t>J.P. Morgan Global Regulatory Disclosures</w:t>
        </w:r>
      </w:hyperlink>
      <w:r w:rsidRPr="005367F6">
        <w:rPr>
          <w:rFonts w:ascii="Calibri" w:eastAsia="Calibri" w:hAnsi="Calibri"/>
        </w:rPr>
        <w:t>.</w:t>
      </w:r>
    </w:p>
    <w:p w14:paraId="3C74ED90" w14:textId="77777777" w:rsidR="0001044B" w:rsidRPr="005367F6" w:rsidRDefault="0001044B" w:rsidP="0001044B">
      <w:pPr>
        <w:spacing w:after="160" w:line="259" w:lineRule="auto"/>
        <w:rPr>
          <w:rFonts w:ascii="Calibri" w:eastAsia="Calibri" w:hAnsi="Calibri"/>
        </w:rPr>
      </w:pPr>
    </w:p>
    <w:p w14:paraId="6CCA7B4F" w14:textId="77777777" w:rsidR="0001044B" w:rsidRPr="005367F6" w:rsidRDefault="00C449A5" w:rsidP="0001044B">
      <w:pPr>
        <w:spacing w:after="160" w:line="259" w:lineRule="auto"/>
        <w:rPr>
          <w:rFonts w:ascii="Calibri" w:eastAsia="Calibri" w:hAnsi="Calibri"/>
          <w:color w:val="0563C1"/>
          <w:u w:val="single"/>
        </w:rPr>
      </w:pPr>
      <w:hyperlink r:id="rId9" w:history="1">
        <w:r w:rsidR="0001044B" w:rsidRPr="005367F6">
          <w:rPr>
            <w:rFonts w:ascii="Calibri" w:eastAsia="Calibri" w:hAnsi="Calibri"/>
            <w:color w:val="0563C1"/>
            <w:u w:val="single"/>
          </w:rPr>
          <w:t>View Statement of Financial Condition</w:t>
        </w:r>
      </w:hyperlink>
      <w:r w:rsidR="0001044B" w:rsidRPr="005367F6">
        <w:rPr>
          <w:rFonts w:ascii="Calibri" w:eastAsia="Calibri" w:hAnsi="Calibri"/>
        </w:rPr>
        <w:t xml:space="preserve"> | View Sweep Options Yields: </w:t>
      </w:r>
      <w:hyperlink r:id="rId10" w:history="1">
        <w:r w:rsidR="0001044B" w:rsidRPr="005367F6">
          <w:rPr>
            <w:rFonts w:ascii="Calibri" w:eastAsia="Calibri" w:hAnsi="Calibri"/>
            <w:color w:val="0563C1"/>
            <w:u w:val="single"/>
          </w:rPr>
          <w:t>Chase Sweep Rates</w:t>
        </w:r>
      </w:hyperlink>
      <w:r w:rsidR="0001044B" w:rsidRPr="005367F6">
        <w:rPr>
          <w:rFonts w:ascii="Calibri" w:eastAsia="Calibri" w:hAnsi="Calibri"/>
        </w:rPr>
        <w:t xml:space="preserve"> | </w:t>
      </w:r>
      <w:hyperlink r:id="rId11" w:history="1">
        <w:r w:rsidR="0001044B" w:rsidRPr="005367F6">
          <w:rPr>
            <w:rFonts w:ascii="Calibri" w:eastAsia="Calibri" w:hAnsi="Calibri"/>
            <w:color w:val="0563C1"/>
            <w:u w:val="single"/>
          </w:rPr>
          <w:t>J.P. Morgan Securities Sweep Rates</w:t>
        </w:r>
      </w:hyperlink>
    </w:p>
    <w:p w14:paraId="2EE98946" w14:textId="77777777" w:rsidR="0001044B" w:rsidRDefault="0001044B" w:rsidP="0001044B">
      <w:pPr>
        <w:spacing w:after="160" w:line="256" w:lineRule="auto"/>
        <w:rPr>
          <w:rFonts w:ascii="Calibri" w:eastAsia="Calibri" w:hAnsi="Calibri"/>
        </w:rPr>
      </w:pPr>
      <w:r w:rsidRPr="00E74ECC">
        <w:rPr>
          <w:rFonts w:ascii="Calibri" w:hAnsi="Calibri" w:cs="Open Sans Light"/>
        </w:rPr>
        <w:t xml:space="preserve">Investment products and services are offered through </w:t>
      </w:r>
      <w:r w:rsidRPr="00E74ECC">
        <w:rPr>
          <w:rFonts w:ascii="Calibri" w:hAnsi="Calibri" w:cs="Open Sans Semibold"/>
          <w:b/>
          <w:bCs/>
        </w:rPr>
        <w:t xml:space="preserve">J.P. Morgan Securities LLC </w:t>
      </w:r>
      <w:r w:rsidRPr="00E74ECC">
        <w:rPr>
          <w:rFonts w:ascii="Calibri" w:hAnsi="Calibri" w:cs="Open Sans Light"/>
        </w:rPr>
        <w:t>(JPMS), a registered broker-dealer and investment advisor, member of FINRA and SIPC. Annuities are made available through Chase Insurance Agency, Inc. (CIA), a licensed insurance agency, doing business as Chase Insurance Agency Services, Inc. in Florida. JPMS, CIA and J.P. Morgan Chase Bank, N.A. are affiliated companies under the common control of JPMorgan Chase &amp; Co. Products not available in all states.</w:t>
      </w:r>
    </w:p>
    <w:p w14:paraId="50441AC5" w14:textId="77777777" w:rsidR="0001044B" w:rsidRPr="005367F6" w:rsidRDefault="0001044B" w:rsidP="0001044B">
      <w:pPr>
        <w:spacing w:after="160" w:line="259" w:lineRule="auto"/>
        <w:rPr>
          <w:rFonts w:ascii="Calibri" w:eastAsia="Calibri" w:hAnsi="Calibri"/>
        </w:rPr>
      </w:pPr>
    </w:p>
    <w:tbl>
      <w:tblPr>
        <w:tblW w:w="0" w:type="auto"/>
        <w:tblCellMar>
          <w:left w:w="0" w:type="dxa"/>
          <w:right w:w="0" w:type="dxa"/>
        </w:tblCellMar>
        <w:tblLook w:val="04A0" w:firstRow="1" w:lastRow="0" w:firstColumn="1" w:lastColumn="0" w:noHBand="0" w:noVBand="1"/>
      </w:tblPr>
      <w:tblGrid>
        <w:gridCol w:w="9340"/>
      </w:tblGrid>
      <w:tr w:rsidR="0001044B" w:rsidRPr="005367F6" w14:paraId="77286A3C" w14:textId="77777777" w:rsidTr="001D2906">
        <w:tc>
          <w:tcPr>
            <w:tcW w:w="12302" w:type="dxa"/>
            <w:tcBorders>
              <w:top w:val="single" w:sz="8" w:space="0" w:color="auto"/>
              <w:left w:val="single" w:sz="8" w:space="0" w:color="auto"/>
              <w:bottom w:val="nil"/>
              <w:right w:val="single" w:sz="8" w:space="0" w:color="auto"/>
            </w:tcBorders>
            <w:tcMar>
              <w:top w:w="0" w:type="dxa"/>
              <w:left w:w="108" w:type="dxa"/>
              <w:bottom w:w="0" w:type="dxa"/>
              <w:right w:w="108" w:type="dxa"/>
            </w:tcMar>
            <w:hideMark/>
          </w:tcPr>
          <w:p w14:paraId="5FC3D753" w14:textId="77777777" w:rsidR="0001044B" w:rsidRPr="005367F6" w:rsidRDefault="0001044B" w:rsidP="001D2906">
            <w:pPr>
              <w:spacing w:before="120" w:after="160" w:line="259" w:lineRule="auto"/>
              <w:jc w:val="center"/>
              <w:rPr>
                <w:rFonts w:ascii="Calibri" w:eastAsia="Calibri" w:hAnsi="Calibri"/>
              </w:rPr>
            </w:pPr>
            <w:r w:rsidRPr="005367F6">
              <w:rPr>
                <w:rFonts w:ascii="Calibri" w:eastAsia="Calibri" w:hAnsi="Calibri"/>
              </w:rPr>
              <w:t>INVESTMENT AND INSURANCE PRODUCTS ARE:</w:t>
            </w:r>
          </w:p>
        </w:tc>
      </w:tr>
      <w:tr w:rsidR="0001044B" w:rsidRPr="005367F6" w14:paraId="2DDE52A7" w14:textId="77777777" w:rsidTr="001D2906">
        <w:tc>
          <w:tcPr>
            <w:tcW w:w="12302" w:type="dxa"/>
            <w:tcBorders>
              <w:top w:val="nil"/>
              <w:left w:val="single" w:sz="8" w:space="0" w:color="auto"/>
              <w:bottom w:val="nil"/>
              <w:right w:val="single" w:sz="8" w:space="0" w:color="auto"/>
            </w:tcBorders>
            <w:tcMar>
              <w:top w:w="0" w:type="dxa"/>
              <w:left w:w="108" w:type="dxa"/>
              <w:bottom w:w="0" w:type="dxa"/>
              <w:right w:w="108" w:type="dxa"/>
            </w:tcMar>
            <w:hideMark/>
          </w:tcPr>
          <w:p w14:paraId="64806CE4" w14:textId="77777777" w:rsidR="0001044B" w:rsidRPr="005367F6" w:rsidRDefault="0001044B" w:rsidP="001D2906">
            <w:pPr>
              <w:spacing w:after="160" w:line="259" w:lineRule="auto"/>
              <w:jc w:val="center"/>
              <w:rPr>
                <w:rFonts w:ascii="Calibri" w:eastAsia="Calibri" w:hAnsi="Calibri"/>
              </w:rPr>
            </w:pPr>
            <w:r w:rsidRPr="005367F6">
              <w:rPr>
                <w:rFonts w:ascii="Calibri" w:eastAsia="Calibri" w:hAnsi="Calibri"/>
              </w:rPr>
              <w:t>• NOT FDIC INSURED • NOT INSURED BY ANY FEDERAL GOVERNMENT AGENCY</w:t>
            </w:r>
          </w:p>
        </w:tc>
      </w:tr>
      <w:tr w:rsidR="0001044B" w:rsidRPr="005367F6" w14:paraId="67ABD7E5" w14:textId="77777777" w:rsidTr="001D2906">
        <w:tc>
          <w:tcPr>
            <w:tcW w:w="12302" w:type="dxa"/>
            <w:tcBorders>
              <w:top w:val="nil"/>
              <w:left w:val="single" w:sz="8" w:space="0" w:color="auto"/>
              <w:bottom w:val="nil"/>
              <w:right w:val="single" w:sz="8" w:space="0" w:color="auto"/>
            </w:tcBorders>
            <w:tcMar>
              <w:top w:w="0" w:type="dxa"/>
              <w:left w:w="108" w:type="dxa"/>
              <w:bottom w:w="0" w:type="dxa"/>
              <w:right w:w="108" w:type="dxa"/>
            </w:tcMar>
            <w:hideMark/>
          </w:tcPr>
          <w:p w14:paraId="451592C1" w14:textId="77777777" w:rsidR="0001044B" w:rsidRPr="005367F6" w:rsidRDefault="0001044B" w:rsidP="001D2906">
            <w:pPr>
              <w:spacing w:after="160" w:line="259" w:lineRule="auto"/>
              <w:jc w:val="center"/>
              <w:rPr>
                <w:rFonts w:ascii="Calibri" w:eastAsia="Calibri" w:hAnsi="Calibri"/>
              </w:rPr>
            </w:pPr>
            <w:r w:rsidRPr="005367F6">
              <w:rPr>
                <w:rFonts w:ascii="Calibri" w:eastAsia="Calibri" w:hAnsi="Calibri"/>
              </w:rPr>
              <w:t>• NOT A DEPOSIT OR OTHER OBLIGATION OF, OR GUARANTEED BY, JPMORGAN CHASE BANK, N.A. OR ANY OF ITS AFFILIATES</w:t>
            </w:r>
          </w:p>
        </w:tc>
      </w:tr>
      <w:tr w:rsidR="0001044B" w:rsidRPr="005367F6" w14:paraId="2875CFDD" w14:textId="77777777" w:rsidTr="001D2906">
        <w:tc>
          <w:tcPr>
            <w:tcW w:w="123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86479B" w14:textId="77777777" w:rsidR="0001044B" w:rsidRPr="005367F6" w:rsidRDefault="0001044B" w:rsidP="001D2906">
            <w:pPr>
              <w:spacing w:after="120" w:line="259" w:lineRule="auto"/>
              <w:jc w:val="center"/>
              <w:rPr>
                <w:rFonts w:ascii="Calibri" w:eastAsia="Calibri" w:hAnsi="Calibri"/>
              </w:rPr>
            </w:pPr>
            <w:r w:rsidRPr="005367F6">
              <w:rPr>
                <w:rFonts w:ascii="Calibri" w:eastAsia="Calibri" w:hAnsi="Calibri"/>
              </w:rPr>
              <w:t>• SUBJECT TO INVESTMENT RISKS, INCLUDING POSSIBLE LOSS OF THE PRINCIPAL AMOUNT INVESTED</w:t>
            </w:r>
          </w:p>
        </w:tc>
      </w:tr>
    </w:tbl>
    <w:p w14:paraId="4AB420DC" w14:textId="77777777" w:rsidR="0001044B" w:rsidRPr="005367F6" w:rsidRDefault="0001044B" w:rsidP="0001044B">
      <w:pPr>
        <w:autoSpaceDE w:val="0"/>
        <w:autoSpaceDN w:val="0"/>
        <w:spacing w:after="60" w:line="288" w:lineRule="auto"/>
        <w:rPr>
          <w:rFonts w:ascii="Calibri" w:hAnsi="Calibri"/>
          <w:color w:val="000000"/>
        </w:rPr>
      </w:pPr>
    </w:p>
    <w:p w14:paraId="7B5D6E03" w14:textId="77777777" w:rsidR="0001044B" w:rsidRPr="005367F6" w:rsidRDefault="0001044B" w:rsidP="0001044B">
      <w:pPr>
        <w:pBdr>
          <w:top w:val="nil"/>
          <w:left w:val="nil"/>
          <w:bottom w:val="nil"/>
          <w:right w:val="nil"/>
          <w:between w:val="nil"/>
        </w:pBdr>
        <w:rPr>
          <w:rFonts w:ascii="Calibri" w:hAnsi="Calibri"/>
          <w:color w:val="FF0000"/>
        </w:rPr>
      </w:pPr>
    </w:p>
    <w:p w14:paraId="2F8DE5ED" w14:textId="77777777" w:rsidR="00AA6E6A" w:rsidRDefault="00AA6E6A"/>
    <w:sectPr w:rsidR="00AA6E6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Open Sans Semibold">
    <w:altName w:val="Times New Roman"/>
    <w:panose1 w:val="020B0604020202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Open Sans Light">
    <w:altName w:val="Calibri"/>
    <w:panose1 w:val="020B0604020202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348D0"/>
    <w:multiLevelType w:val="multilevel"/>
    <w:tmpl w:val="509836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2B86099"/>
    <w:multiLevelType w:val="multilevel"/>
    <w:tmpl w:val="160659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06D4CF7"/>
    <w:multiLevelType w:val="multilevel"/>
    <w:tmpl w:val="A4E429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9AB6E37"/>
    <w:multiLevelType w:val="multilevel"/>
    <w:tmpl w:val="E63666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5214DDE"/>
    <w:multiLevelType w:val="multilevel"/>
    <w:tmpl w:val="094ACB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2F9"/>
    <w:rsid w:val="0001044B"/>
    <w:rsid w:val="00073CBB"/>
    <w:rsid w:val="000C1006"/>
    <w:rsid w:val="001B39BD"/>
    <w:rsid w:val="002A32F6"/>
    <w:rsid w:val="003767AD"/>
    <w:rsid w:val="00392ED5"/>
    <w:rsid w:val="005232F9"/>
    <w:rsid w:val="00576047"/>
    <w:rsid w:val="005F5736"/>
    <w:rsid w:val="00632AF8"/>
    <w:rsid w:val="00653035"/>
    <w:rsid w:val="00672136"/>
    <w:rsid w:val="00781ADF"/>
    <w:rsid w:val="007B1849"/>
    <w:rsid w:val="00817369"/>
    <w:rsid w:val="008F0964"/>
    <w:rsid w:val="009333AA"/>
    <w:rsid w:val="00957075"/>
    <w:rsid w:val="00977418"/>
    <w:rsid w:val="009C0D6E"/>
    <w:rsid w:val="009E4AFC"/>
    <w:rsid w:val="00A82CA5"/>
    <w:rsid w:val="00AA6E6A"/>
    <w:rsid w:val="00B338C7"/>
    <w:rsid w:val="00B75C85"/>
    <w:rsid w:val="00B83EA8"/>
    <w:rsid w:val="00BB3212"/>
    <w:rsid w:val="00BC6654"/>
    <w:rsid w:val="00BE2110"/>
    <w:rsid w:val="00BF1867"/>
    <w:rsid w:val="00C449A5"/>
    <w:rsid w:val="00C63612"/>
    <w:rsid w:val="00CA35BD"/>
    <w:rsid w:val="00CC3846"/>
    <w:rsid w:val="00D209A8"/>
    <w:rsid w:val="00DE2206"/>
    <w:rsid w:val="00E07F8C"/>
    <w:rsid w:val="00E110A4"/>
    <w:rsid w:val="00E60BEE"/>
    <w:rsid w:val="00E77274"/>
    <w:rsid w:val="00E92F70"/>
    <w:rsid w:val="00EA06AE"/>
    <w:rsid w:val="00FB1DDF"/>
    <w:rsid w:val="00FF6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23566"/>
  <w15:docId w15:val="{CE1EC0EB-67CA-E341-BD70-7FC53EF31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817369"/>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17369"/>
    <w:rPr>
      <w:rFonts w:ascii="Times New Roman" w:hAnsi="Times New Roman" w:cs="Times New Roman"/>
      <w:sz w:val="18"/>
      <w:szCs w:val="18"/>
    </w:rPr>
  </w:style>
  <w:style w:type="paragraph" w:styleId="Revision">
    <w:name w:val="Revision"/>
    <w:hidden/>
    <w:uiPriority w:val="99"/>
    <w:semiHidden/>
    <w:rsid w:val="00392ED5"/>
    <w:pPr>
      <w:spacing w:line="240" w:lineRule="auto"/>
    </w:pPr>
  </w:style>
  <w:style w:type="character" w:styleId="CommentReference">
    <w:name w:val="annotation reference"/>
    <w:basedOn w:val="DefaultParagraphFont"/>
    <w:uiPriority w:val="99"/>
    <w:semiHidden/>
    <w:unhideWhenUsed/>
    <w:rsid w:val="00392ED5"/>
    <w:rPr>
      <w:sz w:val="16"/>
      <w:szCs w:val="16"/>
    </w:rPr>
  </w:style>
  <w:style w:type="paragraph" w:styleId="CommentText">
    <w:name w:val="annotation text"/>
    <w:basedOn w:val="Normal"/>
    <w:link w:val="CommentTextChar"/>
    <w:uiPriority w:val="99"/>
    <w:unhideWhenUsed/>
    <w:rsid w:val="00392ED5"/>
    <w:pPr>
      <w:spacing w:line="240" w:lineRule="auto"/>
    </w:pPr>
    <w:rPr>
      <w:sz w:val="20"/>
      <w:szCs w:val="20"/>
    </w:rPr>
  </w:style>
  <w:style w:type="character" w:customStyle="1" w:styleId="CommentTextChar">
    <w:name w:val="Comment Text Char"/>
    <w:basedOn w:val="DefaultParagraphFont"/>
    <w:link w:val="CommentText"/>
    <w:uiPriority w:val="99"/>
    <w:rsid w:val="00392ED5"/>
    <w:rPr>
      <w:sz w:val="20"/>
      <w:szCs w:val="20"/>
    </w:rPr>
  </w:style>
  <w:style w:type="paragraph" w:styleId="CommentSubject">
    <w:name w:val="annotation subject"/>
    <w:basedOn w:val="CommentText"/>
    <w:next w:val="CommentText"/>
    <w:link w:val="CommentSubjectChar"/>
    <w:uiPriority w:val="99"/>
    <w:semiHidden/>
    <w:unhideWhenUsed/>
    <w:rsid w:val="00392ED5"/>
    <w:rPr>
      <w:b/>
      <w:bCs/>
    </w:rPr>
  </w:style>
  <w:style w:type="character" w:customStyle="1" w:styleId="CommentSubjectChar">
    <w:name w:val="Comment Subject Char"/>
    <w:basedOn w:val="CommentTextChar"/>
    <w:link w:val="CommentSubject"/>
    <w:uiPriority w:val="99"/>
    <w:semiHidden/>
    <w:rsid w:val="00392ED5"/>
    <w:rPr>
      <w:b/>
      <w:bCs/>
      <w:sz w:val="20"/>
      <w:szCs w:val="20"/>
    </w:rPr>
  </w:style>
  <w:style w:type="paragraph" w:styleId="NormalWeb">
    <w:name w:val="Normal (Web)"/>
    <w:basedOn w:val="Normal"/>
    <w:uiPriority w:val="99"/>
    <w:unhideWhenUsed/>
    <w:rsid w:val="00EA06AE"/>
    <w:pPr>
      <w:spacing w:after="165"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E60BEE"/>
    <w:rPr>
      <w:color w:val="0000FF" w:themeColor="hyperlink"/>
      <w:u w:val="single"/>
    </w:rPr>
  </w:style>
  <w:style w:type="paragraph" w:styleId="ListParagraph">
    <w:name w:val="List Paragraph"/>
    <w:basedOn w:val="Normal"/>
    <w:uiPriority w:val="34"/>
    <w:qFormat/>
    <w:rsid w:val="00B75C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032180">
      <w:bodyDiv w:val="1"/>
      <w:marLeft w:val="0"/>
      <w:marRight w:val="0"/>
      <w:marTop w:val="0"/>
      <w:marBottom w:val="0"/>
      <w:divBdr>
        <w:top w:val="none" w:sz="0" w:space="0" w:color="auto"/>
        <w:left w:val="none" w:sz="0" w:space="0" w:color="auto"/>
        <w:bottom w:val="none" w:sz="0" w:space="0" w:color="auto"/>
        <w:right w:val="none" w:sz="0" w:space="0" w:color="auto"/>
      </w:divBdr>
    </w:div>
    <w:div w:id="15392737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jpmorgan.com/country/US/en/disclosur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qap4-secure01a.chase.com/web/auth/dashboar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rokercheck.finra.org/Firm/Summary/79" TargetMode="External"/><Relationship Id="rId11" Type="http://schemas.openxmlformats.org/officeDocument/2006/relationships/hyperlink" Target="https://www.jpmorgansecurities.com/pages/am/securities/legal/sweepoption" TargetMode="External"/><Relationship Id="rId5" Type="http://schemas.openxmlformats.org/officeDocument/2006/relationships/hyperlink" Target="https://www.chase.com/personal/investments/learning-and-insights/article/financial-jargon-busiting-mutualfunds-etfs" TargetMode="External"/><Relationship Id="rId10" Type="http://schemas.openxmlformats.org/officeDocument/2006/relationships/hyperlink" Target="https://www.chase.com/investments/sweep-options-yields.html" TargetMode="External"/><Relationship Id="rId4" Type="http://schemas.openxmlformats.org/officeDocument/2006/relationships/webSettings" Target="webSettings.xml"/><Relationship Id="rId9" Type="http://schemas.openxmlformats.org/officeDocument/2006/relationships/hyperlink" Target="https://investor.shareholder.com/jpmorganchase/financial-condition.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1543</Words>
  <Characters>8800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Wing, Jennifer L</dc:creator>
  <cp:lastModifiedBy>Elizabeth Leary</cp:lastModifiedBy>
  <cp:revision>2</cp:revision>
  <dcterms:created xsi:type="dcterms:W3CDTF">2019-07-12T15:38:00Z</dcterms:created>
  <dcterms:modified xsi:type="dcterms:W3CDTF">2019-07-12T15:38:00Z</dcterms:modified>
</cp:coreProperties>
</file>